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009968F3" w:rsidRPr="00E85067" w:rsidTr="006C436A">
        <w:tc>
          <w:tcPr>
            <w:tcW w:w="4644" w:type="dxa"/>
          </w:tcPr>
          <w:p w:rsidR="009968F3" w:rsidRPr="00E85067" w:rsidRDefault="009968F3" w:rsidP="00E85067">
            <w:r w:rsidRPr="00E85067">
              <w:rPr>
                <w:noProof/>
                <w:lang w:eastAsia="en-GB"/>
              </w:rPr>
              <w:drawing>
                <wp:inline distT="0" distB="0" distL="0" distR="0" wp14:anchorId="3B2D212F" wp14:editId="4D5EDD6B">
                  <wp:extent cx="1800000" cy="1558636"/>
                  <wp:effectExtent l="0" t="0" r="0" b="3810"/>
                  <wp:docPr id="41" name="Picture 41" descr="C:\Users\mreg\Music\New LOGO CoR\Logo\logo_CoR-vertical-positive-fr-quadri_MR.jpg" title="CoR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fr-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E85067" w:rsidRPr="00583020">
              <w:rPr>
                <w:noProof/>
                <w:lang w:eastAsia="en-GB"/>
              </w:rPr>
              <w:drawing>
                <wp:anchor distT="0" distB="0" distL="114300" distR="114300" simplePos="0" relativeHeight="251661312" behindDoc="0" locked="0" layoutInCell="0" allowOverlap="0" wp14:anchorId="4B612770" wp14:editId="6932DE29">
                  <wp:simplePos x="0" y="0"/>
                  <wp:positionH relativeFrom="page">
                    <wp:posOffset>900430</wp:posOffset>
                  </wp:positionH>
                  <wp:positionV relativeFrom="page">
                    <wp:posOffset>10185400</wp:posOffset>
                  </wp:positionV>
                  <wp:extent cx="5760000" cy="266400"/>
                  <wp:effectExtent l="0" t="0" r="0" b="635"/>
                  <wp:wrapNone/>
                  <wp:docPr id="8" name="Picture 8" descr="C:\Users\mreg\Music\_New CoR logo\New LOGO CoR\Address\CoR letterhead top banner - addres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eg\Music\_New CoR logo\New LOGO CoR\Address\CoR letterhead top banner - address 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009968F3" w:rsidRPr="00E85067" w:rsidRDefault="009968F3" w:rsidP="00E85067"/>
        </w:tc>
      </w:tr>
      <w:tr w:rsidR="00A012A8" w:rsidRPr="00611E8C" w:rsidTr="006C436A">
        <w:tblPrEx>
          <w:tblLook w:val="0000" w:firstRow="0" w:lastRow="0" w:firstColumn="0" w:lastColumn="0" w:noHBand="0" w:noVBand="0"/>
        </w:tblPrEx>
        <w:trPr>
          <w:cantSplit/>
        </w:trPr>
        <w:tc>
          <w:tcPr>
            <w:tcW w:w="9289" w:type="dxa"/>
            <w:gridSpan w:val="2"/>
          </w:tcPr>
          <w:p w:rsidR="00A012A8" w:rsidRPr="00611E8C" w:rsidRDefault="00CF3511" w:rsidP="00AF0D44">
            <w:pPr>
              <w:jc w:val="right"/>
              <w:rPr>
                <w:b/>
                <w:bCs/>
                <w:sz w:val="28"/>
                <w:lang w:val="fr-FR"/>
              </w:rPr>
            </w:pPr>
            <w:r>
              <w:rPr>
                <w:b/>
                <w:bCs/>
                <w:sz w:val="28"/>
              </w:rPr>
              <w:t>NAT-VI/0</w:t>
            </w:r>
            <w:r w:rsidR="00AF0D44">
              <w:rPr>
                <w:b/>
                <w:bCs/>
                <w:sz w:val="28"/>
              </w:rPr>
              <w:t>34</w:t>
            </w:r>
          </w:p>
        </w:tc>
      </w:tr>
      <w:tr w:rsidR="00A012A8" w:rsidRPr="00611E8C" w:rsidTr="006C436A">
        <w:tblPrEx>
          <w:tblLook w:val="0000" w:firstRow="0" w:lastRow="0" w:firstColumn="0" w:lastColumn="0" w:noHBand="0" w:noVBand="0"/>
        </w:tblPrEx>
        <w:tc>
          <w:tcPr>
            <w:tcW w:w="9289" w:type="dxa"/>
            <w:gridSpan w:val="2"/>
          </w:tcPr>
          <w:p w:rsidR="00DD2FC3" w:rsidRDefault="00DD2FC3" w:rsidP="00AF0D44">
            <w:pPr>
              <w:jc w:val="center"/>
              <w:rPr>
                <w:b/>
                <w:sz w:val="28"/>
                <w:lang w:val="fr-FR"/>
              </w:rPr>
            </w:pPr>
          </w:p>
          <w:p w:rsidR="00A012A8" w:rsidRPr="00611E8C" w:rsidRDefault="00AF0D44" w:rsidP="00AF0D44">
            <w:pPr>
              <w:jc w:val="center"/>
              <w:rPr>
                <w:b/>
                <w:bCs/>
                <w:sz w:val="28"/>
                <w:lang w:val="fr-FR"/>
              </w:rPr>
            </w:pPr>
            <w:r>
              <w:rPr>
                <w:b/>
                <w:sz w:val="28"/>
                <w:lang w:val="fr-FR"/>
              </w:rPr>
              <w:t>20</w:t>
            </w:r>
            <w:r w:rsidR="00611E8C" w:rsidRPr="00611E8C">
              <w:rPr>
                <w:b/>
                <w:sz w:val="28"/>
                <w:vertAlign w:val="superscript"/>
                <w:lang w:val="fr-FR"/>
              </w:rPr>
              <w:t>e</w:t>
            </w:r>
            <w:r w:rsidR="00611E8C" w:rsidRPr="00611E8C">
              <w:rPr>
                <w:b/>
                <w:sz w:val="28"/>
                <w:lang w:val="fr-FR"/>
              </w:rPr>
              <w:t xml:space="preserve"> réunion de la commission du </w:t>
            </w:r>
            <w:r w:rsidR="00CF3511">
              <w:rPr>
                <w:b/>
                <w:sz w:val="28"/>
              </w:rPr>
              <w:t xml:space="preserve">NAT du </w:t>
            </w:r>
            <w:r>
              <w:rPr>
                <w:b/>
                <w:sz w:val="28"/>
              </w:rPr>
              <w:t xml:space="preserve">1 </w:t>
            </w:r>
            <w:proofErr w:type="spellStart"/>
            <w:r>
              <w:rPr>
                <w:b/>
                <w:sz w:val="28"/>
              </w:rPr>
              <w:t>octobre</w:t>
            </w:r>
            <w:proofErr w:type="spellEnd"/>
            <w:r w:rsidR="00CF3511">
              <w:rPr>
                <w:b/>
                <w:sz w:val="28"/>
              </w:rPr>
              <w:t xml:space="preserve"> 201</w:t>
            </w:r>
            <w:r>
              <w:rPr>
                <w:b/>
                <w:sz w:val="28"/>
              </w:rPr>
              <w:t>8</w:t>
            </w:r>
          </w:p>
        </w:tc>
      </w:tr>
    </w:tbl>
    <w:p w:rsidR="00A012A8" w:rsidRPr="00611E8C" w:rsidRDefault="002111B1" w:rsidP="00124EF4">
      <w:pPr>
        <w:rPr>
          <w:lang w:val="fr-FR"/>
        </w:rPr>
      </w:pPr>
      <w:r>
        <w:rPr>
          <w:noProof/>
          <w:lang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2A8" w:rsidRDefault="00A012A8">
                            <w:pPr>
                              <w:jc w:val="center"/>
                              <w:rPr>
                                <w:rFonts w:ascii="Arial" w:hAnsi="Arial" w:cs="Arial"/>
                                <w:b/>
                                <w:bCs/>
                                <w:sz w:val="48"/>
                                <w:lang w:val="fr-FR"/>
                              </w:rPr>
                            </w:pPr>
                            <w:r>
                              <w:rPr>
                                <w:rFonts w:ascii="Arial" w:hAnsi="Arial" w:cs="Arial"/>
                                <w:b/>
                                <w:bCs/>
                                <w:sz w:val="48"/>
                                <w:lang w:val="fr-FR"/>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A012A8" w:rsidRDefault="00A012A8">
                      <w:pPr>
                        <w:jc w:val="center"/>
                        <w:rPr>
                          <w:rFonts w:ascii="Arial" w:hAnsi="Arial" w:cs="Arial"/>
                          <w:b/>
                          <w:bCs/>
                          <w:sz w:val="48"/>
                          <w:lang w:val="fr-FR"/>
                        </w:rPr>
                      </w:pPr>
                      <w:r>
                        <w:rPr>
                          <w:rFonts w:ascii="Arial" w:hAnsi="Arial" w:cs="Arial"/>
                          <w:b/>
                          <w:bCs/>
                          <w:sz w:val="48"/>
                          <w:lang w:val="fr-FR"/>
                        </w:rPr>
                        <w:t>FR</w:t>
                      </w:r>
                    </w:p>
                  </w:txbxContent>
                </v:textbox>
                <w10:wrap anchorx="page" anchory="page"/>
              </v:shape>
            </w:pict>
          </mc:Fallback>
        </mc:AlternateContent>
      </w:r>
    </w:p>
    <w:p w:rsidR="00A012A8" w:rsidRPr="00611E8C" w:rsidRDefault="00A012A8" w:rsidP="00124EF4">
      <w:pPr>
        <w:rPr>
          <w:lang w:val="fr-FR"/>
        </w:rPr>
      </w:pPr>
    </w:p>
    <w:p w:rsidR="00CF3511" w:rsidRDefault="00CF3511" w:rsidP="00CF3511">
      <w:pPr>
        <w:jc w:val="center"/>
        <w:rPr>
          <w:b/>
          <w:bCs/>
          <w:sz w:val="28"/>
        </w:rPr>
      </w:pPr>
      <w:r>
        <w:rPr>
          <w:b/>
          <w:sz w:val="28"/>
        </w:rPr>
        <w:t xml:space="preserve">DOCUMENT DE TRAVAIL </w:t>
      </w:r>
      <w:r>
        <w:rPr>
          <w:b/>
          <w:sz w:val="28"/>
        </w:rPr>
        <w:br/>
        <w:t xml:space="preserve"> </w:t>
      </w:r>
      <w:r>
        <w:rPr>
          <w:b/>
          <w:sz w:val="28"/>
        </w:rPr>
        <w:br/>
      </w:r>
      <w:r w:rsidRPr="00AF0D44">
        <w:rPr>
          <w:b/>
          <w:sz w:val="28"/>
          <w:lang w:val="fr-FR"/>
        </w:rPr>
        <w:t>Commission des ressources naturelles</w:t>
      </w:r>
    </w:p>
    <w:p w:rsidR="006C436A" w:rsidRPr="006C436A" w:rsidRDefault="00CF3511" w:rsidP="00CF3511">
      <w:r>
        <w:rPr>
          <w:b/>
          <w:i/>
          <w:sz w:val="36"/>
        </w:rPr>
        <w:t xml:space="preserve"> </w:t>
      </w:r>
    </w:p>
    <w:p w:rsidR="00A012A8" w:rsidRPr="00EF20F6" w:rsidRDefault="00AF0D44" w:rsidP="00124EF4">
      <w:pPr>
        <w:jc w:val="center"/>
        <w:rPr>
          <w:sz w:val="28"/>
          <w:szCs w:val="28"/>
          <w:lang w:val="fr-FR"/>
        </w:rPr>
      </w:pPr>
      <w:r>
        <w:rPr>
          <w:b/>
          <w:bCs/>
          <w:sz w:val="28"/>
          <w:szCs w:val="28"/>
          <w:lang w:val="fr-BE"/>
        </w:rPr>
        <w:t>R</w:t>
      </w:r>
      <w:r w:rsidRPr="00AF0D44">
        <w:rPr>
          <w:b/>
          <w:bCs/>
          <w:sz w:val="28"/>
          <w:szCs w:val="28"/>
          <w:lang w:val="fr-BE"/>
        </w:rPr>
        <w:t xml:space="preserve">éforme </w:t>
      </w:r>
      <w:r>
        <w:rPr>
          <w:b/>
          <w:bCs/>
          <w:sz w:val="28"/>
          <w:szCs w:val="28"/>
          <w:lang w:val="fr-BE"/>
        </w:rPr>
        <w:t xml:space="preserve">de la </w:t>
      </w:r>
      <w:r w:rsidR="00D01807" w:rsidRPr="00D01807">
        <w:rPr>
          <w:b/>
          <w:bCs/>
          <w:sz w:val="28"/>
          <w:szCs w:val="28"/>
          <w:lang w:val="fr-BE"/>
        </w:rPr>
        <w:t>PAC</w:t>
      </w:r>
    </w:p>
    <w:p w:rsidR="00A012A8" w:rsidRPr="00611E8C" w:rsidRDefault="00A012A8" w:rsidP="00124EF4">
      <w:pPr>
        <w:jc w:val="left"/>
        <w:rPr>
          <w:lang w:val="fr-FR"/>
        </w:rPr>
      </w:pPr>
    </w:p>
    <w:p w:rsidR="00A012A8" w:rsidRPr="00611E8C" w:rsidRDefault="00A012A8" w:rsidP="00124EF4">
      <w:pPr>
        <w:rPr>
          <w:lang w:val="fr-FR"/>
        </w:rPr>
      </w:pPr>
    </w:p>
    <w:tbl>
      <w:tblPr>
        <w:tblW w:w="5000" w:type="pct"/>
        <w:tblLook w:val="0000" w:firstRow="0" w:lastRow="0" w:firstColumn="0" w:lastColumn="0" w:noHBand="0" w:noVBand="0"/>
      </w:tblPr>
      <w:tblGrid>
        <w:gridCol w:w="9289"/>
      </w:tblGrid>
      <w:tr w:rsidR="00A012A8" w:rsidRPr="00611E8C" w:rsidTr="006C436A">
        <w:tc>
          <w:tcPr>
            <w:tcW w:w="5000" w:type="pct"/>
          </w:tcPr>
          <w:p w:rsidR="00A012A8" w:rsidRPr="00611E8C" w:rsidRDefault="00A012A8" w:rsidP="00124EF4">
            <w:pPr>
              <w:jc w:val="center"/>
              <w:rPr>
                <w:lang w:val="fr-FR"/>
              </w:rPr>
            </w:pPr>
            <w:r w:rsidRPr="00611E8C">
              <w:rPr>
                <w:lang w:val="fr-FR"/>
              </w:rPr>
              <w:t>_____________</w:t>
            </w:r>
          </w:p>
          <w:p w:rsidR="00A012A8" w:rsidRPr="00611E8C" w:rsidRDefault="00A012A8" w:rsidP="00124EF4">
            <w:pPr>
              <w:jc w:val="center"/>
              <w:rPr>
                <w:lang w:val="fr-FR"/>
              </w:rPr>
            </w:pPr>
          </w:p>
          <w:p w:rsidR="00A012A8" w:rsidRDefault="00D01807" w:rsidP="00124EF4">
            <w:pPr>
              <w:jc w:val="center"/>
              <w:rPr>
                <w:b/>
                <w:lang w:val="fr-FR"/>
              </w:rPr>
            </w:pPr>
            <w:r>
              <w:rPr>
                <w:lang w:val="fr-FR"/>
              </w:rPr>
              <w:t>Rapporteur</w:t>
            </w:r>
            <w:r w:rsidR="00611E8C" w:rsidRPr="00611E8C">
              <w:rPr>
                <w:lang w:val="fr-FR"/>
              </w:rPr>
              <w:t>:</w:t>
            </w:r>
            <w:r w:rsidR="00FD22C7">
              <w:rPr>
                <w:lang w:val="fr-FR"/>
              </w:rPr>
              <w:t xml:space="preserve"> </w:t>
            </w:r>
            <w:r>
              <w:rPr>
                <w:b/>
                <w:lang w:val="fr-FR"/>
              </w:rPr>
              <w:t>Guillaume Cros (FR/PES)</w:t>
            </w:r>
          </w:p>
          <w:p w:rsidR="00D01807" w:rsidRPr="00FD22C7" w:rsidRDefault="00897D58" w:rsidP="00124EF4">
            <w:pPr>
              <w:jc w:val="center"/>
              <w:rPr>
                <w:bCs/>
                <w:lang w:val="fr-FR"/>
              </w:rPr>
            </w:pPr>
            <w:r>
              <w:rPr>
                <w:bCs/>
                <w:lang w:val="fr-FR"/>
              </w:rPr>
              <w:t>Vice</w:t>
            </w:r>
            <w:r w:rsidR="00407CCD">
              <w:rPr>
                <w:bCs/>
                <w:lang w:val="fr-FR"/>
              </w:rPr>
              <w:t>-</w:t>
            </w:r>
            <w:r>
              <w:rPr>
                <w:bCs/>
                <w:lang w:val="fr-FR"/>
              </w:rPr>
              <w:t>Président</w:t>
            </w:r>
            <w:r w:rsidR="00D01807" w:rsidRPr="00D01807">
              <w:rPr>
                <w:bCs/>
                <w:lang w:val="fr-FR"/>
              </w:rPr>
              <w:t xml:space="preserve"> </w:t>
            </w:r>
            <w:r w:rsidR="00300347">
              <w:rPr>
                <w:bCs/>
                <w:lang w:val="fr-FR"/>
              </w:rPr>
              <w:t>d</w:t>
            </w:r>
            <w:r w:rsidR="00407CCD">
              <w:rPr>
                <w:bCs/>
                <w:lang w:val="fr-FR"/>
              </w:rPr>
              <w:t xml:space="preserve">e la région </w:t>
            </w:r>
            <w:r w:rsidR="00300347">
              <w:rPr>
                <w:bCs/>
                <w:lang w:val="fr-FR"/>
              </w:rPr>
              <w:t>Occitanie</w:t>
            </w:r>
          </w:p>
          <w:p w:rsidR="00A012A8" w:rsidRPr="00611E8C" w:rsidRDefault="00A012A8" w:rsidP="009F31FB">
            <w:pPr>
              <w:jc w:val="center"/>
              <w:rPr>
                <w:lang w:val="fr-FR"/>
              </w:rPr>
            </w:pPr>
            <w:r w:rsidRPr="00611E8C">
              <w:rPr>
                <w:lang w:val="fr-FR"/>
              </w:rPr>
              <w:t>_____________</w:t>
            </w:r>
          </w:p>
        </w:tc>
      </w:tr>
    </w:tbl>
    <w:p w:rsidR="00A012A8" w:rsidRPr="00611E8C" w:rsidRDefault="00A012A8" w:rsidP="00124EF4">
      <w:pPr>
        <w:jc w:val="left"/>
        <w:rPr>
          <w:lang w:val="fr-FR"/>
        </w:rPr>
      </w:pPr>
    </w:p>
    <w:p w:rsidR="00A012A8" w:rsidRPr="00611E8C" w:rsidRDefault="00A012A8" w:rsidP="00124EF4">
      <w:pPr>
        <w:jc w:val="left"/>
        <w:rPr>
          <w:lang w:val="fr-FR"/>
        </w:rPr>
      </w:pPr>
    </w:p>
    <w:p w:rsidR="00A012A8" w:rsidRPr="00611E8C" w:rsidRDefault="00A012A8" w:rsidP="00124EF4">
      <w:pPr>
        <w:jc w:val="left"/>
        <w:rPr>
          <w:lang w:val="fr-FR"/>
        </w:rPr>
      </w:pPr>
    </w:p>
    <w:p w:rsidR="00A012A8" w:rsidRPr="00611E8C" w:rsidRDefault="00A012A8" w:rsidP="00124EF4">
      <w:pPr>
        <w:jc w:val="left"/>
        <w:rPr>
          <w:lang w:val="fr-FR"/>
        </w:rPr>
      </w:pPr>
    </w:p>
    <w:p w:rsidR="00A012A8" w:rsidRPr="00611E8C" w:rsidRDefault="00A012A8" w:rsidP="00124EF4">
      <w:pPr>
        <w:jc w:val="left"/>
        <w:rPr>
          <w:lang w:val="fr-FR"/>
        </w:rPr>
      </w:pPr>
    </w:p>
    <w:p w:rsidR="00A012A8" w:rsidRPr="00611E8C" w:rsidRDefault="00A012A8" w:rsidP="00124EF4">
      <w:pPr>
        <w:jc w:val="left"/>
        <w:rPr>
          <w:lang w:val="fr-FR"/>
        </w:rPr>
      </w:pPr>
    </w:p>
    <w:p w:rsidR="00A012A8" w:rsidRPr="00611E8C" w:rsidRDefault="00A012A8" w:rsidP="00124EF4">
      <w:pPr>
        <w:jc w:val="left"/>
        <w:rPr>
          <w:lang w:val="fr-FR"/>
        </w:rPr>
      </w:pPr>
    </w:p>
    <w:p w:rsidR="00A012A8" w:rsidRPr="00611E8C" w:rsidRDefault="00A012A8" w:rsidP="00124EF4">
      <w:pPr>
        <w:jc w:val="left"/>
        <w:rPr>
          <w:lang w:val="fr-FR"/>
        </w:rPr>
      </w:pPr>
    </w:p>
    <w:p w:rsidR="00A012A8" w:rsidRPr="00611E8C" w:rsidRDefault="00A012A8" w:rsidP="00124EF4">
      <w:pPr>
        <w:jc w:val="left"/>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611E8C" w:rsidRPr="00611E8C" w:rsidTr="006C436A">
        <w:tc>
          <w:tcPr>
            <w:tcW w:w="9289" w:type="dxa"/>
            <w:tcBorders>
              <w:top w:val="single" w:sz="4" w:space="0" w:color="auto"/>
              <w:bottom w:val="single" w:sz="4" w:space="0" w:color="auto"/>
            </w:tcBorders>
          </w:tcPr>
          <w:p w:rsidR="00611E8C" w:rsidRPr="00611E8C" w:rsidRDefault="00D01807" w:rsidP="00AF0D44">
            <w:pPr>
              <w:rPr>
                <w:color w:val="000000"/>
                <w:lang w:val="fr-FR"/>
              </w:rPr>
            </w:pPr>
            <w:r w:rsidRPr="00D01807">
              <w:t xml:space="preserve">Le </w:t>
            </w:r>
            <w:proofErr w:type="spellStart"/>
            <w:r w:rsidRPr="00D01807">
              <w:t>présent</w:t>
            </w:r>
            <w:proofErr w:type="spellEnd"/>
            <w:r w:rsidRPr="00D01807">
              <w:t xml:space="preserve"> document sera </w:t>
            </w:r>
            <w:proofErr w:type="spellStart"/>
            <w:r w:rsidRPr="00D01807">
              <w:t>examiné</w:t>
            </w:r>
            <w:proofErr w:type="spellEnd"/>
            <w:r w:rsidRPr="00D01807">
              <w:t xml:space="preserve"> </w:t>
            </w:r>
            <w:proofErr w:type="spellStart"/>
            <w:r w:rsidRPr="00D01807">
              <w:t>lors</w:t>
            </w:r>
            <w:proofErr w:type="spellEnd"/>
            <w:r w:rsidRPr="00D01807">
              <w:t xml:space="preserve"> de la </w:t>
            </w:r>
            <w:proofErr w:type="spellStart"/>
            <w:r w:rsidRPr="00D01807">
              <w:t>réunion</w:t>
            </w:r>
            <w:proofErr w:type="spellEnd"/>
            <w:r w:rsidRPr="00D01807">
              <w:t xml:space="preserve"> de la </w:t>
            </w:r>
            <w:r w:rsidRPr="00D01807">
              <w:rPr>
                <w:b/>
              </w:rPr>
              <w:t xml:space="preserve">commission des </w:t>
            </w:r>
            <w:proofErr w:type="spellStart"/>
            <w:r w:rsidRPr="00D01807">
              <w:rPr>
                <w:b/>
              </w:rPr>
              <w:t>ressources</w:t>
            </w:r>
            <w:proofErr w:type="spellEnd"/>
            <w:r w:rsidRPr="00D01807">
              <w:rPr>
                <w:b/>
              </w:rPr>
              <w:t xml:space="preserve"> </w:t>
            </w:r>
            <w:proofErr w:type="spellStart"/>
            <w:r w:rsidRPr="00D01807">
              <w:rPr>
                <w:b/>
              </w:rPr>
              <w:t>naturelles</w:t>
            </w:r>
            <w:proofErr w:type="spellEnd"/>
            <w:r w:rsidRPr="00D01807">
              <w:t xml:space="preserve"> qui se </w:t>
            </w:r>
            <w:proofErr w:type="spellStart"/>
            <w:r w:rsidRPr="00D01807">
              <w:t>tiendra</w:t>
            </w:r>
            <w:proofErr w:type="spellEnd"/>
            <w:r w:rsidRPr="00D01807">
              <w:t xml:space="preserve"> </w:t>
            </w:r>
            <w:r w:rsidRPr="00D01807">
              <w:rPr>
                <w:b/>
              </w:rPr>
              <w:t>le </w:t>
            </w:r>
            <w:r w:rsidR="00AF0D44">
              <w:rPr>
                <w:b/>
              </w:rPr>
              <w:t xml:space="preserve">1 </w:t>
            </w:r>
            <w:proofErr w:type="spellStart"/>
            <w:r w:rsidR="00AF0D44">
              <w:rPr>
                <w:b/>
              </w:rPr>
              <w:t>octobre</w:t>
            </w:r>
            <w:proofErr w:type="spellEnd"/>
            <w:r w:rsidRPr="00D01807">
              <w:rPr>
                <w:b/>
              </w:rPr>
              <w:t> 201</w:t>
            </w:r>
            <w:r w:rsidR="00AF0D44">
              <w:rPr>
                <w:b/>
              </w:rPr>
              <w:t>8</w:t>
            </w:r>
            <w:r w:rsidRPr="00D01807">
              <w:rPr>
                <w:b/>
              </w:rPr>
              <w:t xml:space="preserve"> de 11</w:t>
            </w:r>
            <w:r>
              <w:rPr>
                <w:b/>
              </w:rPr>
              <w:t xml:space="preserve">h00 </w:t>
            </w:r>
            <w:r w:rsidR="00AF0D44">
              <w:rPr>
                <w:b/>
              </w:rPr>
              <w:t>à 18 h 0</w:t>
            </w:r>
            <w:r w:rsidRPr="00D01807">
              <w:rPr>
                <w:b/>
              </w:rPr>
              <w:t>0</w:t>
            </w:r>
            <w:r w:rsidRPr="00D01807">
              <w:t>.</w:t>
            </w:r>
          </w:p>
        </w:tc>
      </w:tr>
    </w:tbl>
    <w:p w:rsidR="00A012A8" w:rsidRPr="00611E8C" w:rsidRDefault="00A012A8" w:rsidP="00124EF4">
      <w:pPr>
        <w:rPr>
          <w:lang w:val="fr-FR"/>
        </w:rPr>
      </w:pPr>
    </w:p>
    <w:p w:rsidR="00AF0D44" w:rsidRPr="00611E8C" w:rsidRDefault="00AF0D44" w:rsidP="00AF0D44">
      <w:pPr>
        <w:tabs>
          <w:tab w:val="left" w:pos="440"/>
        </w:tabs>
        <w:ind w:left="440" w:hanging="440"/>
        <w:rPr>
          <w:lang w:val="fr-FR"/>
        </w:rPr>
        <w:sectPr w:rsidR="00AF0D44" w:rsidRPr="00611E8C" w:rsidSect="00646789">
          <w:footerReference w:type="first" r:id="rId13"/>
          <w:pgSz w:w="11907" w:h="16839" w:code="9"/>
          <w:pgMar w:top="1417" w:right="1417" w:bottom="1417" w:left="1417" w:header="709" w:footer="709" w:gutter="0"/>
          <w:pgNumType w:start="1"/>
          <w:cols w:space="720"/>
          <w:titlePg/>
          <w:docGrid w:linePitch="299"/>
        </w:sectPr>
      </w:pPr>
    </w:p>
    <w:tbl>
      <w:tblPr>
        <w:tblW w:w="0" w:type="auto"/>
        <w:tblLayout w:type="fixed"/>
        <w:tblLook w:val="01E0" w:firstRow="1" w:lastRow="1" w:firstColumn="1" w:lastColumn="1" w:noHBand="0" w:noVBand="0"/>
      </w:tblPr>
      <w:tblGrid>
        <w:gridCol w:w="9289"/>
      </w:tblGrid>
      <w:tr w:rsidR="00AF0D44" w:rsidRPr="00611E8C" w:rsidTr="002E1BEB">
        <w:trPr>
          <w:trHeight w:val="12474"/>
        </w:trPr>
        <w:tc>
          <w:tcPr>
            <w:tcW w:w="9289" w:type="dxa"/>
            <w:vAlign w:val="bottom"/>
          </w:tcPr>
          <w:p w:rsidR="00AF0D44" w:rsidRPr="00611E8C" w:rsidRDefault="00AF0D44" w:rsidP="002E1BEB">
            <w:pPr>
              <w:rPr>
                <w:u w:val="single"/>
                <w:lang w:val="fr-FR"/>
              </w:rPr>
            </w:pPr>
            <w:r w:rsidRPr="00611E8C">
              <w:rPr>
                <w:u w:val="single"/>
                <w:lang w:val="fr-FR"/>
              </w:rPr>
              <w:lastRenderedPageBreak/>
              <w:t>Texte de référence</w:t>
            </w:r>
          </w:p>
          <w:p w:rsidR="00DD2FC3" w:rsidRPr="00DD2FC3" w:rsidRDefault="00DD2FC3" w:rsidP="00DD2FC3">
            <w:pPr>
              <w:numPr>
                <w:ilvl w:val="0"/>
                <w:numId w:val="18"/>
              </w:numPr>
              <w:rPr>
                <w:bCs/>
                <w:lang w:val="fr-FR"/>
              </w:rPr>
            </w:pPr>
            <w:r w:rsidRPr="00DD2FC3">
              <w:rPr>
                <w:bCs/>
                <w:lang w:val="fr-FR"/>
              </w:rPr>
              <w:t>Proposition de règlement du Parlement européen et du Conseil établissant des règles régissant l'aide aux plans stratégiques devant être établis par les États membres dans le cadre de la politique agricole commune (les «plans stratégiques relevant de la PAC») et financés par le Fonds européen agricole de garantie (FEAGA) et par le Fonds européen agricole pour le développement rural (</w:t>
            </w:r>
            <w:proofErr w:type="spellStart"/>
            <w:r w:rsidRPr="00DD2FC3">
              <w:rPr>
                <w:bCs/>
                <w:lang w:val="fr-FR"/>
              </w:rPr>
              <w:t>Feader</w:t>
            </w:r>
            <w:proofErr w:type="spellEnd"/>
            <w:r w:rsidRPr="00DD2FC3">
              <w:rPr>
                <w:bCs/>
                <w:lang w:val="fr-FR"/>
              </w:rPr>
              <w:t xml:space="preserve">), et abrogeant le règlement (UE) n° 1305/2013 du Parlement européen et du Conseil et le règlement (UE) n° 1307/2013 du Parlement européen et du Conseil - </w:t>
            </w:r>
            <w:r w:rsidRPr="00DD2FC3">
              <w:rPr>
                <w:lang w:val="fr-FR"/>
              </w:rPr>
              <w:t>COM/2018/392 final</w:t>
            </w:r>
          </w:p>
          <w:p w:rsidR="00DD2FC3" w:rsidRPr="00DD2FC3" w:rsidRDefault="00DD2FC3" w:rsidP="00DD2FC3">
            <w:pPr>
              <w:numPr>
                <w:ilvl w:val="0"/>
                <w:numId w:val="18"/>
              </w:numPr>
              <w:rPr>
                <w:lang w:val="fr-FR"/>
              </w:rPr>
            </w:pPr>
            <w:r w:rsidRPr="00DD2FC3">
              <w:rPr>
                <w:bCs/>
                <w:lang w:val="fr-FR"/>
              </w:rPr>
              <w:t xml:space="preserve">Proposition de règlement du Parlement européen et du Conseil relatif au financement, à la gestion et au suivi de la politique agricole commune et abrogeant le règlement (UE) nº 1306/2013 - </w:t>
            </w:r>
            <w:r w:rsidRPr="00DD2FC3">
              <w:rPr>
                <w:lang w:val="fr-FR"/>
              </w:rPr>
              <w:t>COM/2018/393 final</w:t>
            </w:r>
          </w:p>
          <w:p w:rsidR="00AF0D44" w:rsidRPr="00611E8C" w:rsidRDefault="00DD2FC3" w:rsidP="00DD2FC3">
            <w:pPr>
              <w:numPr>
                <w:ilvl w:val="0"/>
                <w:numId w:val="18"/>
              </w:numPr>
              <w:rPr>
                <w:lang w:val="fr-FR"/>
              </w:rPr>
            </w:pPr>
            <w:r w:rsidRPr="00DD2FC3">
              <w:rPr>
                <w:bCs/>
                <w:lang w:val="fr-FR"/>
              </w:rPr>
              <w:t>Proposition de règlement du Parlement européen et du Conseil modifiant les règlements (UE) n° 1308/2013 portant organisation commune des marchés dans le secteur des produits agricoles, (UE) n°°1151/2012 relatif aux systèmes de qualité applicables aux produits agricoles et aux denrées alimentaires, (UE) n° 251/2014 concernant la définition, la description, la présentation, l’étiquetage et la protection des indications géographiques des produits vinicoles aromatisés, (UE) n° 228/2013 portant mesures spécifiques dans le domaine de l’agriculture en faveur des régions ultrapériphériques de l’Union et (UE) n° 229/2013 portant mesures spécifiques dans le domaine de l’agriculture en faveur des îles mineures de la mer Égée - COM/2018/394</w:t>
            </w:r>
          </w:p>
        </w:tc>
      </w:tr>
    </w:tbl>
    <w:p w:rsidR="00AF0D44" w:rsidRPr="00611E8C" w:rsidRDefault="00AF0D44" w:rsidP="00AF0D44">
      <w:pPr>
        <w:rPr>
          <w:lang w:val="fr-FR"/>
        </w:rPr>
      </w:pPr>
    </w:p>
    <w:p w:rsidR="00AF0D44" w:rsidRPr="00611E8C" w:rsidRDefault="00AF0D44" w:rsidP="00AF0D44">
      <w:pPr>
        <w:jc w:val="center"/>
        <w:rPr>
          <w:b/>
          <w:lang w:val="fr-FR"/>
        </w:rPr>
      </w:pPr>
      <w:r w:rsidRPr="00611E8C">
        <w:rPr>
          <w:lang w:val="fr-FR"/>
        </w:rPr>
        <w:br w:type="page"/>
      </w:r>
      <w:r w:rsidRPr="00611E8C">
        <w:rPr>
          <w:b/>
          <w:lang w:val="fr-FR"/>
        </w:rPr>
        <w:lastRenderedPageBreak/>
        <w:t>Projet d'avis de la commission </w:t>
      </w:r>
      <w:r w:rsidRPr="00AF0D44">
        <w:rPr>
          <w:b/>
          <w:lang w:val="fr-FR"/>
        </w:rPr>
        <w:t>des ressources naturelles</w:t>
      </w:r>
      <w:r w:rsidRPr="00611E8C">
        <w:rPr>
          <w:b/>
          <w:lang w:val="fr-FR"/>
        </w:rPr>
        <w:t xml:space="preserve"> - </w:t>
      </w:r>
      <w:r w:rsidRPr="00AF0D44">
        <w:rPr>
          <w:b/>
          <w:lang w:val="fr-FR"/>
        </w:rPr>
        <w:t>Réforme de la PAC</w:t>
      </w:r>
    </w:p>
    <w:p w:rsidR="00AF0D44" w:rsidRPr="00611E8C" w:rsidRDefault="00AF0D44" w:rsidP="00AF0D44">
      <w:pPr>
        <w:rPr>
          <w:lang w:val="fr-FR"/>
        </w:rPr>
      </w:pPr>
    </w:p>
    <w:p w:rsidR="00AF0D44" w:rsidRPr="00611E8C" w:rsidRDefault="00AF0D44" w:rsidP="00AF0D44">
      <w:pPr>
        <w:rPr>
          <w:lang w:val="fr-FR"/>
        </w:rPr>
      </w:pPr>
    </w:p>
    <w:p w:rsidR="00AF0D44" w:rsidRPr="00611E8C" w:rsidRDefault="00AF0D44" w:rsidP="00AF0D44">
      <w:pPr>
        <w:keepNext/>
        <w:numPr>
          <w:ilvl w:val="0"/>
          <w:numId w:val="15"/>
        </w:numPr>
        <w:ind w:left="567" w:hanging="567"/>
        <w:rPr>
          <w:b/>
          <w:bCs/>
          <w:lang w:val="fr-FR"/>
        </w:rPr>
      </w:pPr>
      <w:r w:rsidRPr="00611E8C">
        <w:rPr>
          <w:b/>
          <w:bCs/>
          <w:lang w:val="fr-FR"/>
        </w:rPr>
        <w:t>RECOMMANDATIONS POLITIQUES</w:t>
      </w:r>
    </w:p>
    <w:p w:rsidR="00AF0D44" w:rsidRDefault="00AF0D44" w:rsidP="00AF0D44">
      <w:pPr>
        <w:keepNext/>
        <w:rPr>
          <w:lang w:val="fr-FR"/>
        </w:rPr>
      </w:pPr>
    </w:p>
    <w:p w:rsidR="00DD2FC3" w:rsidRDefault="00DD2FC3" w:rsidP="00AF0D44">
      <w:pPr>
        <w:keepNext/>
        <w:rPr>
          <w:lang w:val="fr-FR"/>
        </w:rPr>
      </w:pPr>
      <w:proofErr w:type="spellStart"/>
      <w:r w:rsidRPr="00C27582">
        <w:rPr>
          <w:rFonts w:eastAsia="SimSun"/>
          <w:iCs/>
          <w:lang w:eastAsia="zh-CN"/>
        </w:rPr>
        <w:t>Dans</w:t>
      </w:r>
      <w:proofErr w:type="spellEnd"/>
      <w:r w:rsidRPr="00C27582">
        <w:rPr>
          <w:rFonts w:eastAsia="SimSun"/>
          <w:iCs/>
          <w:lang w:eastAsia="zh-CN"/>
        </w:rPr>
        <w:t xml:space="preserve"> son </w:t>
      </w:r>
      <w:proofErr w:type="spellStart"/>
      <w:r w:rsidRPr="00C27582">
        <w:rPr>
          <w:rFonts w:eastAsia="SimSun"/>
          <w:iCs/>
          <w:lang w:eastAsia="zh-CN"/>
        </w:rPr>
        <w:t>avis</w:t>
      </w:r>
      <w:proofErr w:type="spellEnd"/>
      <w:r w:rsidRPr="00C27582">
        <w:rPr>
          <w:rFonts w:eastAsia="SimSun"/>
          <w:iCs/>
          <w:lang w:eastAsia="zh-CN"/>
        </w:rPr>
        <w:t xml:space="preserve"> de prospective PAC 2020 </w:t>
      </w:r>
      <w:proofErr w:type="spellStart"/>
      <w:r w:rsidRPr="00C27582">
        <w:rPr>
          <w:rFonts w:eastAsia="SimSun"/>
          <w:iCs/>
          <w:lang w:eastAsia="zh-CN"/>
        </w:rPr>
        <w:t>adopté</w:t>
      </w:r>
      <w:proofErr w:type="spellEnd"/>
      <w:r w:rsidRPr="00C27582">
        <w:rPr>
          <w:rFonts w:eastAsia="SimSun"/>
          <w:iCs/>
          <w:lang w:eastAsia="zh-CN"/>
        </w:rPr>
        <w:t xml:space="preserve"> </w:t>
      </w:r>
      <w:proofErr w:type="spellStart"/>
      <w:r w:rsidRPr="00C27582">
        <w:rPr>
          <w:rFonts w:eastAsia="SimSun"/>
          <w:iCs/>
          <w:lang w:eastAsia="zh-CN"/>
        </w:rPr>
        <w:t>en</w:t>
      </w:r>
      <w:proofErr w:type="spellEnd"/>
      <w:r w:rsidRPr="00C27582">
        <w:rPr>
          <w:rFonts w:eastAsia="SimSun"/>
          <w:iCs/>
          <w:lang w:eastAsia="zh-CN"/>
        </w:rPr>
        <w:t xml:space="preserve"> </w:t>
      </w:r>
      <w:proofErr w:type="spellStart"/>
      <w:r w:rsidRPr="00C27582">
        <w:rPr>
          <w:rFonts w:eastAsia="SimSun"/>
          <w:iCs/>
          <w:lang w:eastAsia="zh-CN"/>
        </w:rPr>
        <w:t>juillet</w:t>
      </w:r>
      <w:proofErr w:type="spellEnd"/>
      <w:r w:rsidRPr="00C27582">
        <w:rPr>
          <w:rFonts w:eastAsia="SimSun"/>
          <w:iCs/>
          <w:lang w:eastAsia="zh-CN"/>
        </w:rPr>
        <w:t xml:space="preserve"> 2017, le </w:t>
      </w:r>
      <w:proofErr w:type="spellStart"/>
      <w:r w:rsidRPr="00C27582">
        <w:rPr>
          <w:rFonts w:eastAsia="SimSun"/>
          <w:iCs/>
          <w:lang w:eastAsia="zh-CN"/>
        </w:rPr>
        <w:t>Comité</w:t>
      </w:r>
      <w:proofErr w:type="spellEnd"/>
      <w:r w:rsidRPr="00C27582">
        <w:rPr>
          <w:rFonts w:eastAsia="SimSun"/>
          <w:iCs/>
          <w:lang w:eastAsia="zh-CN"/>
        </w:rPr>
        <w:t xml:space="preserve"> </w:t>
      </w:r>
      <w:proofErr w:type="spellStart"/>
      <w:r w:rsidRPr="00C27582">
        <w:rPr>
          <w:rFonts w:eastAsia="SimSun"/>
          <w:iCs/>
          <w:lang w:eastAsia="zh-CN"/>
        </w:rPr>
        <w:t>européen</w:t>
      </w:r>
      <w:proofErr w:type="spellEnd"/>
      <w:r w:rsidRPr="00C27582">
        <w:rPr>
          <w:rFonts w:eastAsia="SimSun"/>
          <w:iCs/>
          <w:lang w:eastAsia="zh-CN"/>
        </w:rPr>
        <w:t xml:space="preserve"> des </w:t>
      </w:r>
      <w:proofErr w:type="spellStart"/>
      <w:r w:rsidRPr="00C27582">
        <w:rPr>
          <w:rFonts w:eastAsia="SimSun"/>
          <w:iCs/>
          <w:lang w:eastAsia="zh-CN"/>
        </w:rPr>
        <w:t>régions</w:t>
      </w:r>
      <w:proofErr w:type="spellEnd"/>
      <w:r w:rsidRPr="00C27582">
        <w:rPr>
          <w:rFonts w:eastAsia="SimSun"/>
          <w:iCs/>
          <w:lang w:eastAsia="zh-CN"/>
        </w:rPr>
        <w:t xml:space="preserve"> a </w:t>
      </w:r>
      <w:proofErr w:type="spellStart"/>
      <w:r w:rsidRPr="00C27582">
        <w:rPr>
          <w:rFonts w:eastAsia="SimSun"/>
          <w:iCs/>
          <w:lang w:eastAsia="zh-CN"/>
        </w:rPr>
        <w:t>appelé</w:t>
      </w:r>
      <w:proofErr w:type="spellEnd"/>
      <w:r w:rsidRPr="00C27582">
        <w:rPr>
          <w:rFonts w:eastAsia="SimSun"/>
          <w:iCs/>
          <w:lang w:eastAsia="zh-CN"/>
        </w:rPr>
        <w:t xml:space="preserve"> </w:t>
      </w:r>
      <w:proofErr w:type="spellStart"/>
      <w:r w:rsidRPr="00C27582">
        <w:rPr>
          <w:rFonts w:eastAsia="SimSun"/>
          <w:iCs/>
          <w:lang w:eastAsia="zh-CN"/>
        </w:rPr>
        <w:t>l’UE</w:t>
      </w:r>
      <w:proofErr w:type="spellEnd"/>
      <w:r w:rsidRPr="00C27582">
        <w:rPr>
          <w:rFonts w:eastAsia="SimSun"/>
          <w:iCs/>
          <w:lang w:eastAsia="zh-CN"/>
        </w:rPr>
        <w:t xml:space="preserve"> à faire de la PAC </w:t>
      </w:r>
      <w:proofErr w:type="spellStart"/>
      <w:r w:rsidRPr="00C27582">
        <w:rPr>
          <w:rFonts w:eastAsia="SimSun"/>
          <w:i/>
          <w:iCs/>
          <w:lang w:eastAsia="zh-CN"/>
        </w:rPr>
        <w:t>une</w:t>
      </w:r>
      <w:proofErr w:type="spellEnd"/>
      <w:r w:rsidRPr="00C27582">
        <w:rPr>
          <w:rFonts w:eastAsia="SimSun"/>
          <w:i/>
          <w:iCs/>
          <w:lang w:eastAsia="zh-CN"/>
        </w:rPr>
        <w:t xml:space="preserve"> </w:t>
      </w:r>
      <w:proofErr w:type="spellStart"/>
      <w:r w:rsidRPr="00C27582">
        <w:rPr>
          <w:rFonts w:eastAsia="SimSun"/>
          <w:i/>
          <w:iCs/>
          <w:lang w:eastAsia="zh-CN"/>
        </w:rPr>
        <w:t>politique</w:t>
      </w:r>
      <w:proofErr w:type="spellEnd"/>
      <w:r w:rsidRPr="00C27582">
        <w:rPr>
          <w:rFonts w:eastAsia="SimSun"/>
          <w:i/>
          <w:iCs/>
          <w:lang w:eastAsia="zh-CN"/>
        </w:rPr>
        <w:t xml:space="preserve"> </w:t>
      </w:r>
      <w:proofErr w:type="spellStart"/>
      <w:r w:rsidRPr="00C27582">
        <w:rPr>
          <w:rFonts w:eastAsia="SimSun"/>
          <w:i/>
          <w:iCs/>
          <w:lang w:eastAsia="zh-CN"/>
        </w:rPr>
        <w:t>agricole</w:t>
      </w:r>
      <w:proofErr w:type="spellEnd"/>
      <w:r w:rsidRPr="00C27582">
        <w:rPr>
          <w:rFonts w:eastAsia="SimSun"/>
          <w:i/>
          <w:iCs/>
          <w:lang w:eastAsia="zh-CN"/>
        </w:rPr>
        <w:t xml:space="preserve"> </w:t>
      </w:r>
      <w:proofErr w:type="spellStart"/>
      <w:r w:rsidRPr="00C27582">
        <w:rPr>
          <w:rFonts w:eastAsia="SimSun"/>
          <w:i/>
          <w:iCs/>
          <w:lang w:eastAsia="zh-CN"/>
        </w:rPr>
        <w:t>juste</w:t>
      </w:r>
      <w:proofErr w:type="spellEnd"/>
      <w:r w:rsidRPr="00C27582">
        <w:rPr>
          <w:rFonts w:eastAsia="SimSun"/>
          <w:i/>
          <w:iCs/>
          <w:lang w:eastAsia="zh-CN"/>
        </w:rPr>
        <w:t xml:space="preserve">, durable et </w:t>
      </w:r>
      <w:proofErr w:type="spellStart"/>
      <w:r w:rsidRPr="00C27582">
        <w:rPr>
          <w:rFonts w:eastAsia="SimSun"/>
          <w:i/>
          <w:iCs/>
          <w:lang w:eastAsia="zh-CN"/>
        </w:rPr>
        <w:t>solidaire</w:t>
      </w:r>
      <w:proofErr w:type="spellEnd"/>
      <w:r w:rsidRPr="00C27582">
        <w:rPr>
          <w:rFonts w:eastAsia="SimSun"/>
          <w:iCs/>
          <w:lang w:eastAsia="zh-CN"/>
        </w:rPr>
        <w:t xml:space="preserve"> </w:t>
      </w:r>
      <w:r w:rsidRPr="00C27582">
        <w:t xml:space="preserve">au service des </w:t>
      </w:r>
      <w:proofErr w:type="spellStart"/>
      <w:r w:rsidRPr="00C27582">
        <w:t>agriculteurs</w:t>
      </w:r>
      <w:proofErr w:type="spellEnd"/>
      <w:r w:rsidRPr="00C27582">
        <w:t xml:space="preserve">, des </w:t>
      </w:r>
      <w:proofErr w:type="spellStart"/>
      <w:r w:rsidRPr="00C27582">
        <w:t>territoires</w:t>
      </w:r>
      <w:proofErr w:type="spellEnd"/>
      <w:r w:rsidRPr="00C27582">
        <w:t xml:space="preserve">, des </w:t>
      </w:r>
      <w:proofErr w:type="spellStart"/>
      <w:r w:rsidRPr="00C27582">
        <w:t>consommateurs</w:t>
      </w:r>
      <w:proofErr w:type="spellEnd"/>
      <w:r w:rsidRPr="00C27582">
        <w:t xml:space="preserve"> et des </w:t>
      </w:r>
      <w:proofErr w:type="spellStart"/>
      <w:r w:rsidRPr="00C27582">
        <w:t>citoyens</w:t>
      </w:r>
      <w:proofErr w:type="spellEnd"/>
      <w:r w:rsidRPr="00C27582">
        <w:t xml:space="preserve">. </w:t>
      </w:r>
      <w:r w:rsidRPr="00C27582">
        <w:rPr>
          <w:rFonts w:eastAsia="SimSun"/>
          <w:iCs/>
          <w:lang w:eastAsia="zh-CN"/>
        </w:rPr>
        <w:t xml:space="preserve">Les </w:t>
      </w:r>
      <w:r w:rsidRPr="00C27582">
        <w:t xml:space="preserve">propositions </w:t>
      </w:r>
      <w:proofErr w:type="spellStart"/>
      <w:r w:rsidRPr="00C27582">
        <w:t>législatives</w:t>
      </w:r>
      <w:proofErr w:type="spellEnd"/>
      <w:r w:rsidRPr="00C27582">
        <w:t xml:space="preserve"> </w:t>
      </w:r>
      <w:proofErr w:type="spellStart"/>
      <w:r w:rsidRPr="00C27582">
        <w:t>publiées</w:t>
      </w:r>
      <w:proofErr w:type="spellEnd"/>
      <w:r w:rsidRPr="00C27582">
        <w:t xml:space="preserve"> par la Commission </w:t>
      </w:r>
      <w:proofErr w:type="spellStart"/>
      <w:r w:rsidRPr="00C27582">
        <w:t>européenne</w:t>
      </w:r>
      <w:proofErr w:type="spellEnd"/>
      <w:r w:rsidRPr="00C27582">
        <w:t xml:space="preserve"> le 1</w:t>
      </w:r>
      <w:r w:rsidRPr="00C27582">
        <w:rPr>
          <w:vertAlign w:val="superscript"/>
        </w:rPr>
        <w:t>er</w:t>
      </w:r>
      <w:r>
        <w:t> </w:t>
      </w:r>
      <w:proofErr w:type="spellStart"/>
      <w:r w:rsidRPr="00C27582">
        <w:t>juin</w:t>
      </w:r>
      <w:proofErr w:type="spellEnd"/>
      <w:r w:rsidRPr="00C27582">
        <w:t xml:space="preserve"> </w:t>
      </w:r>
      <w:proofErr w:type="spellStart"/>
      <w:r w:rsidRPr="00C27582">
        <w:t>dernier</w:t>
      </w:r>
      <w:proofErr w:type="spellEnd"/>
      <w:r w:rsidRPr="00C27582">
        <w:t xml:space="preserve"> </w:t>
      </w:r>
      <w:proofErr w:type="spellStart"/>
      <w:r w:rsidRPr="00C27582">
        <w:t>répondent-elles</w:t>
      </w:r>
      <w:proofErr w:type="spellEnd"/>
      <w:r w:rsidRPr="00C27582">
        <w:t xml:space="preserve"> à </w:t>
      </w:r>
      <w:proofErr w:type="spellStart"/>
      <w:proofErr w:type="gramStart"/>
      <w:r w:rsidRPr="00C27582">
        <w:t>cet</w:t>
      </w:r>
      <w:proofErr w:type="spellEnd"/>
      <w:proofErr w:type="gramEnd"/>
      <w:r w:rsidRPr="00C27582">
        <w:t xml:space="preserve"> </w:t>
      </w:r>
      <w:proofErr w:type="spellStart"/>
      <w:r w:rsidRPr="00C27582">
        <w:t>appel</w:t>
      </w:r>
      <w:proofErr w:type="spellEnd"/>
      <w:r w:rsidRPr="00C27582">
        <w:t>?</w:t>
      </w:r>
    </w:p>
    <w:p w:rsidR="00DD2FC3" w:rsidRPr="00611E8C" w:rsidRDefault="00DD2FC3" w:rsidP="00AF0D44">
      <w:pPr>
        <w:keepNext/>
        <w:rPr>
          <w:lang w:val="fr-FR"/>
        </w:rPr>
      </w:pPr>
    </w:p>
    <w:p w:rsidR="00DD2FC3" w:rsidRPr="00C27582" w:rsidRDefault="00DD2FC3" w:rsidP="00DD2FC3">
      <w:pPr>
        <w:pStyle w:val="ListParagraph"/>
        <w:numPr>
          <w:ilvl w:val="0"/>
          <w:numId w:val="16"/>
        </w:numPr>
        <w:suppressAutoHyphens/>
        <w:autoSpaceDN w:val="0"/>
        <w:spacing w:line="276" w:lineRule="auto"/>
        <w:ind w:left="0" w:firstLine="0"/>
        <w:textAlignment w:val="baseline"/>
      </w:pPr>
      <w:r w:rsidRPr="00C27582">
        <w:rPr>
          <w:b/>
        </w:rPr>
        <w:t>Baisse du budget PAC:</w:t>
      </w:r>
      <w:r w:rsidRPr="00C27582">
        <w:t xml:space="preserve"> le Comité constate que, malgré les enjeux économiques, sociaux, environnementaux auxquels l’agriculture et les territoires ruraux sont confrontés, la Commission propose de baisser fortement le budget de la PAC. La baisse de 28</w:t>
      </w:r>
      <w:r>
        <w:t> </w:t>
      </w:r>
      <w:r w:rsidRPr="00C27582">
        <w:t xml:space="preserve">% proposée pour le développement rural est inacceptable et contraire à l’objectif de cohésion territoriale de l’UE. Quant au premier pilier, le Comité constate qu’après avoir baissé les prix agricoles en mondialisant les marchés, l’UE baisserait les primes dont beaucoup d’agriculteurs sont devenus dépendants pour leur survie économique. Néanmoins, il est possible, dans le cadre d’un budget réduit, de les distribuer plus justement. </w:t>
      </w:r>
    </w:p>
    <w:p w:rsidR="00DD2FC3" w:rsidRPr="00C27582" w:rsidRDefault="00DD2FC3" w:rsidP="00DD2FC3">
      <w:pPr>
        <w:suppressAutoHyphens/>
        <w:spacing w:line="276" w:lineRule="auto"/>
      </w:pPr>
    </w:p>
    <w:p w:rsidR="00DD2FC3" w:rsidRPr="00C27582" w:rsidRDefault="00DD2FC3" w:rsidP="00DD2FC3">
      <w:pPr>
        <w:pStyle w:val="ListParagraph"/>
        <w:numPr>
          <w:ilvl w:val="0"/>
          <w:numId w:val="16"/>
        </w:numPr>
        <w:suppressAutoHyphens/>
        <w:autoSpaceDN w:val="0"/>
        <w:spacing w:line="276" w:lineRule="auto"/>
        <w:ind w:left="0" w:firstLine="0"/>
        <w:textAlignment w:val="baseline"/>
      </w:pPr>
      <w:r w:rsidRPr="00C27582">
        <w:rPr>
          <w:b/>
        </w:rPr>
        <w:t>Plans stratégiques nationaux</w:t>
      </w:r>
      <w:r w:rsidRPr="00C27582">
        <w:t xml:space="preserve">: en déléguant aux États membres la mise en œuvre de la PAC à travers des plans stratégiques nationaux, la politique agricole européenne risque de perdre son adjectif de COMMUNE, alors que les produits agricoles et alimentaires sont commercialisés dans un marché UNIQUE. Trop de subsidiarité conduit à la renationalisation de la PAC et à des distorsions de concurrence. Par ailleurs, la proposition conduirait à un transfert de pouvoir des </w:t>
      </w:r>
      <w:proofErr w:type="spellStart"/>
      <w:r w:rsidRPr="00C27582">
        <w:t>co</w:t>
      </w:r>
      <w:proofErr w:type="spellEnd"/>
      <w:r w:rsidRPr="00C27582">
        <w:t>-législateurs (Parlement, Conseil) vers la Commission –qui, seule, validerait chaque plan stratégique- et les administrations nationales. Le Comité demande que les plans stratégiques soient déclinés au niveau régional. Revenir en arrière par rapport à la période 2014-2020, où les régions se sont organisées pour la gestion des fonds, serait une erreur. La PAC serait-elle simplifiée? Avec une multitude de plans stratégiques différents, il semble que la complexité de la PAC serait transférée aux États membres.</w:t>
      </w:r>
    </w:p>
    <w:p w:rsidR="00DD2FC3" w:rsidRPr="00C27582" w:rsidRDefault="00DD2FC3" w:rsidP="00DD2FC3">
      <w:pPr>
        <w:suppressAutoHyphens/>
        <w:spacing w:line="276" w:lineRule="auto"/>
      </w:pPr>
    </w:p>
    <w:p w:rsidR="00DD2FC3" w:rsidRPr="00C27582" w:rsidRDefault="00DD2FC3" w:rsidP="00DD2FC3">
      <w:pPr>
        <w:pStyle w:val="ListParagraph"/>
        <w:numPr>
          <w:ilvl w:val="0"/>
          <w:numId w:val="16"/>
        </w:numPr>
        <w:suppressAutoHyphens/>
        <w:autoSpaceDN w:val="0"/>
        <w:spacing w:line="276" w:lineRule="auto"/>
        <w:ind w:left="0" w:firstLine="0"/>
        <w:textAlignment w:val="baseline"/>
      </w:pPr>
      <w:r w:rsidRPr="00C27582">
        <w:rPr>
          <w:b/>
        </w:rPr>
        <w:t>Marchés agricoles et revenu des agriculteurs:</w:t>
      </w:r>
      <w:r w:rsidRPr="00C27582">
        <w:t xml:space="preserve"> Le Comité a rappelé, dans son avis de prospective, que </w:t>
      </w:r>
      <w:r w:rsidRPr="00C27582">
        <w:rPr>
          <w:i/>
        </w:rPr>
        <w:t xml:space="preserve">«la régulation des marchés est plus efficace et moins coûteuse que le déclenchement de mesures a posteriori». </w:t>
      </w:r>
      <w:r w:rsidRPr="00C27582">
        <w:t>Malgré des marchés et des revenus agricoles de plus en plus aléatoires, malgré une répartition des marges toujours en défaveur des producteurs, la Commission s’en remet à une hypothétique autorégulation volontaire de filières nationales et à des assurances-revenu bénéficiant plus aux assurances qu’aux producteurs.</w:t>
      </w:r>
    </w:p>
    <w:p w:rsidR="00DD2FC3" w:rsidRPr="00C27582" w:rsidRDefault="00DD2FC3" w:rsidP="00DD2FC3">
      <w:pPr>
        <w:spacing w:line="276" w:lineRule="auto"/>
      </w:pPr>
    </w:p>
    <w:p w:rsidR="00DD2FC3" w:rsidRPr="00C27582" w:rsidRDefault="00DD2FC3" w:rsidP="00DD2FC3">
      <w:pPr>
        <w:suppressAutoHyphens/>
        <w:spacing w:line="276" w:lineRule="auto"/>
      </w:pPr>
      <w:r w:rsidRPr="00C27582">
        <w:t xml:space="preserve">De </w:t>
      </w:r>
      <w:proofErr w:type="spellStart"/>
      <w:r w:rsidRPr="00C27582">
        <w:t>telles</w:t>
      </w:r>
      <w:proofErr w:type="spellEnd"/>
      <w:r w:rsidRPr="00C27582">
        <w:t xml:space="preserve"> perspectives </w:t>
      </w:r>
      <w:proofErr w:type="spellStart"/>
      <w:r w:rsidRPr="00C27582">
        <w:t>sombres</w:t>
      </w:r>
      <w:proofErr w:type="spellEnd"/>
      <w:r w:rsidRPr="00C27582">
        <w:t xml:space="preserve"> </w:t>
      </w:r>
      <w:proofErr w:type="spellStart"/>
      <w:r w:rsidRPr="00C27582">
        <w:t>en</w:t>
      </w:r>
      <w:proofErr w:type="spellEnd"/>
      <w:r w:rsidRPr="00C27582">
        <w:t xml:space="preserve"> </w:t>
      </w:r>
      <w:proofErr w:type="spellStart"/>
      <w:r w:rsidRPr="00C27582">
        <w:t>matière</w:t>
      </w:r>
      <w:proofErr w:type="spellEnd"/>
      <w:r w:rsidRPr="00C27582">
        <w:t xml:space="preserve"> de </w:t>
      </w:r>
      <w:proofErr w:type="spellStart"/>
      <w:r w:rsidRPr="00C27582">
        <w:t>revenu</w:t>
      </w:r>
      <w:proofErr w:type="spellEnd"/>
      <w:r w:rsidRPr="00C27582">
        <w:t xml:space="preserve"> </w:t>
      </w:r>
      <w:proofErr w:type="spellStart"/>
      <w:r w:rsidRPr="00C27582">
        <w:t>vont</w:t>
      </w:r>
      <w:proofErr w:type="spellEnd"/>
      <w:r w:rsidRPr="00C27582">
        <w:t xml:space="preserve"> </w:t>
      </w:r>
      <w:proofErr w:type="spellStart"/>
      <w:r w:rsidRPr="00C27582">
        <w:t>accélérer</w:t>
      </w:r>
      <w:proofErr w:type="spellEnd"/>
      <w:r w:rsidRPr="00C27582">
        <w:t xml:space="preserve"> la chute du </w:t>
      </w:r>
      <w:proofErr w:type="spellStart"/>
      <w:r w:rsidRPr="00C27582">
        <w:t>nombre</w:t>
      </w:r>
      <w:proofErr w:type="spellEnd"/>
      <w:r w:rsidRPr="00C27582">
        <w:t xml:space="preserve"> </w:t>
      </w:r>
      <w:proofErr w:type="spellStart"/>
      <w:r w:rsidRPr="00C27582">
        <w:t>d’exploitations</w:t>
      </w:r>
      <w:proofErr w:type="spellEnd"/>
      <w:r w:rsidRPr="00C27582">
        <w:t xml:space="preserve"> </w:t>
      </w:r>
      <w:proofErr w:type="spellStart"/>
      <w:r w:rsidRPr="00C27582">
        <w:t>agricole</w:t>
      </w:r>
      <w:proofErr w:type="spellEnd"/>
      <w:r w:rsidRPr="00C27582">
        <w:t xml:space="preserve"> </w:t>
      </w:r>
      <w:proofErr w:type="gramStart"/>
      <w:r w:rsidRPr="00C27582">
        <w:t>et</w:t>
      </w:r>
      <w:proofErr w:type="gramEnd"/>
      <w:r w:rsidRPr="00C27582">
        <w:t xml:space="preserve"> </w:t>
      </w:r>
      <w:proofErr w:type="spellStart"/>
      <w:r w:rsidRPr="00C27582">
        <w:t>diminuer</w:t>
      </w:r>
      <w:proofErr w:type="spellEnd"/>
      <w:r w:rsidRPr="00C27582">
        <w:t xml:space="preserve"> encore </w:t>
      </w:r>
      <w:proofErr w:type="spellStart"/>
      <w:r w:rsidRPr="00C27582">
        <w:t>l’attractivité</w:t>
      </w:r>
      <w:proofErr w:type="spellEnd"/>
      <w:r w:rsidRPr="00C27582">
        <w:t xml:space="preserve"> du </w:t>
      </w:r>
      <w:proofErr w:type="spellStart"/>
      <w:r w:rsidRPr="00C27582">
        <w:t>métier</w:t>
      </w:r>
      <w:proofErr w:type="spellEnd"/>
      <w:r w:rsidRPr="00C27582">
        <w:t xml:space="preserve"> </w:t>
      </w:r>
      <w:proofErr w:type="spellStart"/>
      <w:r w:rsidRPr="00C27582">
        <w:t>d’agriculteur</w:t>
      </w:r>
      <w:proofErr w:type="spellEnd"/>
      <w:r w:rsidRPr="00C27582">
        <w:t>.</w:t>
      </w:r>
    </w:p>
    <w:p w:rsidR="00DD2FC3" w:rsidRDefault="00DD2FC3" w:rsidP="00DD2FC3">
      <w:pPr>
        <w:suppressAutoHyphens/>
        <w:spacing w:line="276" w:lineRule="auto"/>
      </w:pPr>
    </w:p>
    <w:p w:rsidR="00DD2FC3" w:rsidRPr="00C27582" w:rsidRDefault="00DD2FC3" w:rsidP="00DD2FC3">
      <w:pPr>
        <w:suppressAutoHyphens/>
        <w:spacing w:line="276" w:lineRule="auto"/>
      </w:pPr>
      <w:proofErr w:type="spellStart"/>
      <w:r w:rsidRPr="00C27582">
        <w:t>Pourquoi</w:t>
      </w:r>
      <w:proofErr w:type="spellEnd"/>
      <w:r w:rsidRPr="00C27582">
        <w:t xml:space="preserve"> </w:t>
      </w:r>
      <w:proofErr w:type="spellStart"/>
      <w:r w:rsidRPr="00C27582">
        <w:t>une</w:t>
      </w:r>
      <w:proofErr w:type="spellEnd"/>
      <w:r w:rsidRPr="00C27582">
        <w:t xml:space="preserve"> </w:t>
      </w:r>
      <w:proofErr w:type="spellStart"/>
      <w:r w:rsidRPr="00C27582">
        <w:t>mise</w:t>
      </w:r>
      <w:proofErr w:type="spellEnd"/>
      <w:r w:rsidRPr="00C27582">
        <w:t xml:space="preserve"> </w:t>
      </w:r>
      <w:proofErr w:type="spellStart"/>
      <w:r w:rsidRPr="00C27582">
        <w:t>en</w:t>
      </w:r>
      <w:proofErr w:type="spellEnd"/>
      <w:r w:rsidRPr="00C27582">
        <w:t xml:space="preserve"> </w:t>
      </w:r>
      <w:proofErr w:type="spellStart"/>
      <w:r w:rsidRPr="00C27582">
        <w:t>œuvre</w:t>
      </w:r>
      <w:proofErr w:type="spellEnd"/>
      <w:r w:rsidRPr="00C27582">
        <w:t xml:space="preserve"> des «programmes </w:t>
      </w:r>
      <w:proofErr w:type="spellStart"/>
      <w:r w:rsidRPr="00C27582">
        <w:t>opérationnels</w:t>
      </w:r>
      <w:proofErr w:type="spellEnd"/>
      <w:r w:rsidRPr="00C27582">
        <w:t>»</w:t>
      </w:r>
      <w:r w:rsidRPr="00C27582">
        <w:rPr>
          <w:b/>
        </w:rPr>
        <w:t xml:space="preserve"> </w:t>
      </w:r>
      <w:proofErr w:type="spellStart"/>
      <w:r w:rsidRPr="00C27582">
        <w:t>sectoriels</w:t>
      </w:r>
      <w:proofErr w:type="spellEnd"/>
      <w:r w:rsidRPr="00C27582">
        <w:t xml:space="preserve"> par les </w:t>
      </w:r>
      <w:proofErr w:type="spellStart"/>
      <w:r w:rsidRPr="00C27582">
        <w:t>États</w:t>
      </w:r>
      <w:proofErr w:type="spellEnd"/>
      <w:r w:rsidRPr="00C27582">
        <w:t xml:space="preserve"> </w:t>
      </w:r>
      <w:proofErr w:type="spellStart"/>
      <w:r w:rsidRPr="00C27582">
        <w:t>membres</w:t>
      </w:r>
      <w:proofErr w:type="spellEnd"/>
      <w:r w:rsidRPr="00C27582">
        <w:t xml:space="preserve"> </w:t>
      </w:r>
      <w:proofErr w:type="gramStart"/>
      <w:r w:rsidRPr="00C27582">
        <w:t>et</w:t>
      </w:r>
      <w:proofErr w:type="gramEnd"/>
      <w:r w:rsidRPr="00C27582">
        <w:t xml:space="preserve"> non au </w:t>
      </w:r>
      <w:proofErr w:type="spellStart"/>
      <w:r w:rsidRPr="00C27582">
        <w:t>niveau</w:t>
      </w:r>
      <w:proofErr w:type="spellEnd"/>
      <w:r w:rsidRPr="00C27582">
        <w:t xml:space="preserve"> </w:t>
      </w:r>
      <w:proofErr w:type="spellStart"/>
      <w:r w:rsidRPr="00C27582">
        <w:t>européen</w:t>
      </w:r>
      <w:proofErr w:type="spellEnd"/>
      <w:r w:rsidRPr="00C27582">
        <w:t xml:space="preserve">? Le </w:t>
      </w:r>
      <w:proofErr w:type="spellStart"/>
      <w:r w:rsidRPr="00C27582">
        <w:t>niveau</w:t>
      </w:r>
      <w:proofErr w:type="spellEnd"/>
      <w:r w:rsidRPr="00C27582">
        <w:t xml:space="preserve"> national </w:t>
      </w:r>
      <w:proofErr w:type="spellStart"/>
      <w:r w:rsidRPr="00C27582">
        <w:t>est-il</w:t>
      </w:r>
      <w:proofErr w:type="spellEnd"/>
      <w:r w:rsidRPr="00C27582">
        <w:t xml:space="preserve"> pertinent </w:t>
      </w:r>
      <w:proofErr w:type="spellStart"/>
      <w:r w:rsidRPr="00C27582">
        <w:t>dans</w:t>
      </w:r>
      <w:proofErr w:type="spellEnd"/>
      <w:r w:rsidRPr="00C27582">
        <w:t xml:space="preserve"> </w:t>
      </w:r>
      <w:proofErr w:type="gramStart"/>
      <w:r w:rsidRPr="00C27582">
        <w:t>un</w:t>
      </w:r>
      <w:proofErr w:type="gramEnd"/>
      <w:r w:rsidRPr="00C27582">
        <w:t xml:space="preserve"> </w:t>
      </w:r>
      <w:proofErr w:type="spellStart"/>
      <w:r w:rsidRPr="00C27582">
        <w:t>marché</w:t>
      </w:r>
      <w:proofErr w:type="spellEnd"/>
      <w:r w:rsidRPr="00C27582">
        <w:t xml:space="preserve"> unique? Cacophonies </w:t>
      </w:r>
      <w:proofErr w:type="spellStart"/>
      <w:r w:rsidRPr="00C27582">
        <w:t>sectorielles</w:t>
      </w:r>
      <w:proofErr w:type="spellEnd"/>
      <w:r w:rsidRPr="00C27582">
        <w:t xml:space="preserve"> </w:t>
      </w:r>
      <w:proofErr w:type="gramStart"/>
      <w:r w:rsidRPr="00C27582">
        <w:t>et</w:t>
      </w:r>
      <w:proofErr w:type="gramEnd"/>
      <w:r w:rsidRPr="00C27582">
        <w:t xml:space="preserve"> </w:t>
      </w:r>
      <w:proofErr w:type="spellStart"/>
      <w:r w:rsidRPr="00C27582">
        <w:t>distorsions</w:t>
      </w:r>
      <w:proofErr w:type="spellEnd"/>
      <w:r w:rsidRPr="00C27582">
        <w:t xml:space="preserve"> de concurrence </w:t>
      </w:r>
      <w:proofErr w:type="spellStart"/>
      <w:r w:rsidRPr="00C27582">
        <w:t>risquent</w:t>
      </w:r>
      <w:proofErr w:type="spellEnd"/>
      <w:r w:rsidRPr="00C27582">
        <w:t xml:space="preserve"> </w:t>
      </w:r>
      <w:proofErr w:type="spellStart"/>
      <w:r w:rsidRPr="00C27582">
        <w:t>d’exacerber</w:t>
      </w:r>
      <w:proofErr w:type="spellEnd"/>
      <w:r w:rsidRPr="00C27582">
        <w:t xml:space="preserve"> les tensions entre </w:t>
      </w:r>
      <w:proofErr w:type="spellStart"/>
      <w:r w:rsidRPr="00C27582">
        <w:t>États</w:t>
      </w:r>
      <w:proofErr w:type="spellEnd"/>
      <w:r w:rsidRPr="00C27582">
        <w:t xml:space="preserve"> </w:t>
      </w:r>
      <w:proofErr w:type="spellStart"/>
      <w:r w:rsidRPr="00C27582">
        <w:t>membres</w:t>
      </w:r>
      <w:proofErr w:type="spellEnd"/>
      <w:r w:rsidRPr="00C27582">
        <w:t xml:space="preserve"> et entre </w:t>
      </w:r>
      <w:proofErr w:type="spellStart"/>
      <w:r w:rsidRPr="00C27582">
        <w:t>secteurs</w:t>
      </w:r>
      <w:proofErr w:type="spellEnd"/>
      <w:r w:rsidRPr="00C27582">
        <w:t xml:space="preserve">, sans </w:t>
      </w:r>
      <w:proofErr w:type="spellStart"/>
      <w:r w:rsidRPr="00C27582">
        <w:t>prévenir</w:t>
      </w:r>
      <w:proofErr w:type="spellEnd"/>
      <w:r w:rsidRPr="00C27582">
        <w:t xml:space="preserve"> les crises. Pour le </w:t>
      </w:r>
      <w:proofErr w:type="spellStart"/>
      <w:r w:rsidRPr="00C27582">
        <w:t>Comité</w:t>
      </w:r>
      <w:proofErr w:type="spellEnd"/>
      <w:r w:rsidRPr="00C27582">
        <w:t xml:space="preserve">, </w:t>
      </w:r>
      <w:proofErr w:type="spellStart"/>
      <w:r w:rsidRPr="00C27582">
        <w:t>une</w:t>
      </w:r>
      <w:proofErr w:type="spellEnd"/>
      <w:r w:rsidRPr="00C27582">
        <w:t xml:space="preserve"> </w:t>
      </w:r>
      <w:proofErr w:type="spellStart"/>
      <w:r w:rsidRPr="00C27582">
        <w:t>telle</w:t>
      </w:r>
      <w:proofErr w:type="spellEnd"/>
      <w:r w:rsidRPr="00C27582">
        <w:t xml:space="preserve"> </w:t>
      </w:r>
      <w:proofErr w:type="spellStart"/>
      <w:r w:rsidRPr="00C27582">
        <w:t>déresponsabilisation</w:t>
      </w:r>
      <w:proofErr w:type="spellEnd"/>
      <w:r w:rsidRPr="00C27582">
        <w:t xml:space="preserve"> de </w:t>
      </w:r>
      <w:proofErr w:type="spellStart"/>
      <w:r w:rsidRPr="00C27582">
        <w:t>l’UE</w:t>
      </w:r>
      <w:proofErr w:type="spellEnd"/>
      <w:r w:rsidRPr="00C27582">
        <w:t xml:space="preserve"> </w:t>
      </w:r>
      <w:proofErr w:type="spellStart"/>
      <w:proofErr w:type="gramStart"/>
      <w:r w:rsidRPr="00C27582">
        <w:t>est</w:t>
      </w:r>
      <w:proofErr w:type="spellEnd"/>
      <w:proofErr w:type="gramEnd"/>
      <w:r w:rsidRPr="00C27582">
        <w:t xml:space="preserve"> inacceptable et </w:t>
      </w:r>
      <w:proofErr w:type="spellStart"/>
      <w:r w:rsidRPr="00C27582">
        <w:t>mortifère</w:t>
      </w:r>
      <w:proofErr w:type="spellEnd"/>
      <w:r w:rsidRPr="00C27582">
        <w:t xml:space="preserve"> pour la </w:t>
      </w:r>
      <w:proofErr w:type="spellStart"/>
      <w:r w:rsidRPr="00C27582">
        <w:t>politique</w:t>
      </w:r>
      <w:proofErr w:type="spellEnd"/>
      <w:r w:rsidRPr="00C27582">
        <w:t xml:space="preserve"> </w:t>
      </w:r>
      <w:proofErr w:type="spellStart"/>
      <w:r w:rsidRPr="00C27582">
        <w:t>agricole</w:t>
      </w:r>
      <w:proofErr w:type="spellEnd"/>
      <w:r w:rsidRPr="00C27582">
        <w:t xml:space="preserve"> commune.</w:t>
      </w:r>
    </w:p>
    <w:p w:rsidR="00DD2FC3" w:rsidRDefault="00DD2FC3" w:rsidP="00DD2FC3">
      <w:pPr>
        <w:suppressAutoHyphens/>
        <w:spacing w:line="240" w:lineRule="auto"/>
      </w:pPr>
    </w:p>
    <w:p w:rsidR="00DD2FC3" w:rsidRDefault="00DD2FC3" w:rsidP="00E968A3">
      <w:pPr>
        <w:pStyle w:val="ListParagraph"/>
        <w:keepNext/>
        <w:keepLines/>
        <w:numPr>
          <w:ilvl w:val="0"/>
          <w:numId w:val="16"/>
        </w:numPr>
        <w:suppressAutoHyphens/>
        <w:autoSpaceDN w:val="0"/>
        <w:spacing w:line="240" w:lineRule="auto"/>
        <w:contextualSpacing w:val="0"/>
        <w:textAlignment w:val="baseline"/>
      </w:pPr>
      <w:bookmarkStart w:id="0" w:name="_GoBack"/>
      <w:r w:rsidRPr="00C27582">
        <w:rPr>
          <w:b/>
        </w:rPr>
        <w:lastRenderedPageBreak/>
        <w:tab/>
        <w:t xml:space="preserve">Paiements directs: </w:t>
      </w:r>
      <w:r w:rsidRPr="00C27582">
        <w:t>pour une répartition plus juste et plus solidaire</w:t>
      </w:r>
    </w:p>
    <w:p w:rsidR="00DD2FC3" w:rsidRPr="00C27582" w:rsidRDefault="00DD2FC3" w:rsidP="00E968A3">
      <w:pPr>
        <w:keepNext/>
        <w:keepLines/>
        <w:suppressAutoHyphens/>
        <w:spacing w:line="240" w:lineRule="auto"/>
      </w:pPr>
    </w:p>
    <w:p w:rsidR="00DD2FC3" w:rsidRPr="00C27582" w:rsidRDefault="00DD2FC3" w:rsidP="00E968A3">
      <w:pPr>
        <w:pStyle w:val="ListParagraph"/>
        <w:keepNext/>
        <w:keepLines/>
        <w:numPr>
          <w:ilvl w:val="0"/>
          <w:numId w:val="17"/>
        </w:numPr>
        <w:suppressAutoHyphens/>
        <w:autoSpaceDN w:val="0"/>
        <w:textAlignment w:val="baseline"/>
      </w:pPr>
      <w:r w:rsidRPr="00C27582">
        <w:rPr>
          <w:b/>
        </w:rPr>
        <w:t xml:space="preserve">convergence externe: </w:t>
      </w:r>
      <w:r w:rsidRPr="00C27582">
        <w:t>le Comité soutient la proposition de la Commission</w:t>
      </w:r>
      <w:r w:rsidRPr="00C27582">
        <w:rPr>
          <w:b/>
        </w:rPr>
        <w:t xml:space="preserve"> </w:t>
      </w:r>
      <w:r w:rsidRPr="00C27582">
        <w:t>pour une convergence entre États membres de 100</w:t>
      </w:r>
      <w:r>
        <w:t> </w:t>
      </w:r>
      <w:r w:rsidRPr="00C27582">
        <w:t>% en 2027</w:t>
      </w:r>
      <w:r>
        <w:t>;</w:t>
      </w:r>
      <w:r w:rsidRPr="00C27582">
        <w:t xml:space="preserve"> </w:t>
      </w:r>
    </w:p>
    <w:p w:rsidR="00DD2FC3" w:rsidRPr="00C27582" w:rsidRDefault="00DD2FC3" w:rsidP="00E968A3">
      <w:pPr>
        <w:pStyle w:val="ListParagraph"/>
        <w:keepNext/>
        <w:keepLines/>
        <w:numPr>
          <w:ilvl w:val="0"/>
          <w:numId w:val="17"/>
        </w:numPr>
        <w:suppressAutoHyphens/>
        <w:autoSpaceDN w:val="0"/>
        <w:textAlignment w:val="baseline"/>
      </w:pPr>
      <w:r w:rsidRPr="00C27582">
        <w:rPr>
          <w:b/>
        </w:rPr>
        <w:t xml:space="preserve">convergence </w:t>
      </w:r>
      <w:bookmarkEnd w:id="0"/>
      <w:r w:rsidRPr="00C27582">
        <w:rPr>
          <w:b/>
        </w:rPr>
        <w:t>interne</w:t>
      </w:r>
      <w:r w:rsidRPr="00C27582">
        <w:t>: le Comité propose que dans les pays et régions où elle n’est pas encore mise en œuvre, elle soit progressivement augmentée, pour être totale en 2026 (au lieu d’un seuil minimum de 75</w:t>
      </w:r>
      <w:r>
        <w:t> </w:t>
      </w:r>
      <w:r w:rsidRPr="00C27582">
        <w:t>%). Les références historiques ne sont plus justifiées</w:t>
      </w:r>
      <w:r>
        <w:t>;</w:t>
      </w:r>
      <w:r w:rsidRPr="00C27582">
        <w:t xml:space="preserve"> </w:t>
      </w:r>
    </w:p>
    <w:p w:rsidR="00DD2FC3" w:rsidRPr="00C27582" w:rsidRDefault="00DD2FC3" w:rsidP="00DD2FC3">
      <w:pPr>
        <w:pStyle w:val="ListParagraph"/>
        <w:numPr>
          <w:ilvl w:val="0"/>
          <w:numId w:val="17"/>
        </w:numPr>
        <w:suppressAutoHyphens/>
        <w:autoSpaceDN w:val="0"/>
        <w:textAlignment w:val="baseline"/>
      </w:pPr>
      <w:r w:rsidRPr="00C27582">
        <w:rPr>
          <w:b/>
        </w:rPr>
        <w:t>plafonnement en lien avec l’emploi</w:t>
      </w:r>
      <w:r w:rsidRPr="00C27582">
        <w:t xml:space="preserve">: le Comité, dans son avis de prospective, préconisait </w:t>
      </w:r>
      <w:r w:rsidRPr="00C27582">
        <w:rPr>
          <w:i/>
        </w:rPr>
        <w:t>« de plafonner et de moduler par actif agricole les paiements directs ».</w:t>
      </w:r>
      <w:r w:rsidRPr="00C27582">
        <w:t xml:space="preserve"> Il soutient donc la proposition globale, mais les critères proposés pour la prise en compte du travail la rendent inefficace. Pour concilier efficacité du plafonnement et prise en compte de l’emploi, le Comité propose de tenir compte de 50</w:t>
      </w:r>
      <w:r>
        <w:t> </w:t>
      </w:r>
      <w:r w:rsidRPr="00C27582">
        <w:t>% seulement des coûts d’emploi</w:t>
      </w:r>
      <w:r>
        <w:t>;</w:t>
      </w:r>
    </w:p>
    <w:p w:rsidR="00DD2FC3" w:rsidRPr="00C27582" w:rsidRDefault="00DD2FC3" w:rsidP="00DD2FC3">
      <w:pPr>
        <w:pStyle w:val="ListParagraph"/>
        <w:numPr>
          <w:ilvl w:val="0"/>
          <w:numId w:val="17"/>
        </w:numPr>
        <w:suppressAutoHyphens/>
        <w:autoSpaceDN w:val="0"/>
        <w:textAlignment w:val="baseline"/>
      </w:pPr>
      <w:r w:rsidRPr="00C27582">
        <w:rPr>
          <w:b/>
        </w:rPr>
        <w:t xml:space="preserve">paiement </w:t>
      </w:r>
      <w:proofErr w:type="spellStart"/>
      <w:r w:rsidRPr="00C27582">
        <w:rPr>
          <w:b/>
        </w:rPr>
        <w:t>redistributif</w:t>
      </w:r>
      <w:proofErr w:type="spellEnd"/>
      <w:r w:rsidRPr="00C27582">
        <w:t>: le Comité soutient son obligation de mise en œuvre par les États membres, et propose d’en augmenter l’ampleur, avec un minimum de 30</w:t>
      </w:r>
      <w:r>
        <w:t> </w:t>
      </w:r>
      <w:r w:rsidRPr="00C27582">
        <w:t>% des fonds du 1</w:t>
      </w:r>
      <w:r w:rsidRPr="00E168AD">
        <w:rPr>
          <w:vertAlign w:val="superscript"/>
        </w:rPr>
        <w:t>er</w:t>
      </w:r>
      <w:r>
        <w:t> </w:t>
      </w:r>
      <w:r w:rsidRPr="00C27582">
        <w:t>pilier</w:t>
      </w:r>
      <w:r>
        <w:t>;</w:t>
      </w:r>
    </w:p>
    <w:p w:rsidR="00DD2FC3" w:rsidRPr="00C27582" w:rsidRDefault="00DD2FC3" w:rsidP="00DD2FC3">
      <w:pPr>
        <w:pStyle w:val="ListParagraph"/>
        <w:numPr>
          <w:ilvl w:val="0"/>
          <w:numId w:val="17"/>
        </w:numPr>
        <w:suppressAutoHyphens/>
        <w:autoSpaceDN w:val="0"/>
        <w:textAlignment w:val="baseline"/>
      </w:pPr>
      <w:r w:rsidRPr="00C27582">
        <w:rPr>
          <w:b/>
        </w:rPr>
        <w:t>jeunes agriculteurs:</w:t>
      </w:r>
      <w:r w:rsidRPr="00C27582">
        <w:t xml:space="preserve"> le Comité se félicite de la proposition;</w:t>
      </w:r>
      <w:r w:rsidRPr="00C27582">
        <w:rPr>
          <w:b/>
        </w:rPr>
        <w:t xml:space="preserve"> </w:t>
      </w:r>
      <w:r w:rsidRPr="00C27582">
        <w:t>mais un bonus de paiement direct ne suffit pas pour motiver des jeunes à s’installer, dans un contexte de revenu et d’accès au foncier aussi difficile. Pour favoriser l’installation de petites et moyennes exploitations, le Comité propose que cette mesure soit plafonnée comme le paiement de base</w:t>
      </w:r>
      <w:r>
        <w:t>;</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paiements couplés:</w:t>
      </w:r>
      <w:r w:rsidRPr="00C27582">
        <w:t xml:space="preserve"> le Comité approuve cette mesure mais propose de maintenir son plafonnement à 13</w:t>
      </w:r>
      <w:r>
        <w:t> </w:t>
      </w:r>
      <w:r w:rsidRPr="00C27582">
        <w:t>% de l’enveloppe nationale des paiements (au lieu des 10</w:t>
      </w:r>
      <w:r>
        <w:t> </w:t>
      </w:r>
      <w:r w:rsidRPr="00C27582">
        <w:t>% proposés) et de cibler davantage les secteurs de production concernés et les régions, avec l’objectif d’empêcher l’abandon de l’activité agricole sur les territoires ruraux</w:t>
      </w:r>
      <w:r>
        <w:t>;</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conditionnalité renforcée:</w:t>
      </w:r>
    </w:p>
    <w:p w:rsidR="00DD2FC3" w:rsidRPr="00C27582" w:rsidRDefault="00DD2FC3" w:rsidP="00DD2FC3">
      <w:pPr>
        <w:spacing w:line="276" w:lineRule="auto"/>
      </w:pPr>
    </w:p>
    <w:p w:rsidR="00DD2FC3" w:rsidRPr="00C27582" w:rsidRDefault="00DD2FC3" w:rsidP="00DD2FC3">
      <w:pPr>
        <w:pStyle w:val="ListParagraph"/>
        <w:numPr>
          <w:ilvl w:val="1"/>
          <w:numId w:val="17"/>
        </w:numPr>
        <w:suppressAutoHyphens/>
        <w:autoSpaceDN w:val="0"/>
        <w:spacing w:line="276" w:lineRule="auto"/>
        <w:textAlignment w:val="baseline"/>
      </w:pPr>
      <w:r w:rsidRPr="00C27582">
        <w:t>Le Comité accueille très favorablement l’extension de la conditionnalité à la totalité du paiement de base et l’élargissement au</w:t>
      </w:r>
      <w:r>
        <w:t>x</w:t>
      </w:r>
      <w:r w:rsidRPr="00C27582">
        <w:t xml:space="preserve"> 13</w:t>
      </w:r>
      <w:r>
        <w:t> </w:t>
      </w:r>
      <w:r w:rsidRPr="00C27582">
        <w:t>exigences réglementaires et aux 12</w:t>
      </w:r>
      <w:r>
        <w:t> </w:t>
      </w:r>
      <w:r w:rsidRPr="00C27582">
        <w:t>bonnes conditions environnementales incluant la rotation des cultures.</w:t>
      </w:r>
    </w:p>
    <w:p w:rsidR="00DD2FC3" w:rsidRPr="00C27582" w:rsidRDefault="00DD2FC3" w:rsidP="00DD2FC3">
      <w:pPr>
        <w:pStyle w:val="ListParagraph"/>
        <w:numPr>
          <w:ilvl w:val="1"/>
          <w:numId w:val="17"/>
        </w:numPr>
        <w:suppressAutoHyphens/>
        <w:autoSpaceDN w:val="0"/>
        <w:spacing w:line="276" w:lineRule="auto"/>
        <w:textAlignment w:val="baseline"/>
      </w:pPr>
      <w:r w:rsidRPr="00C27582">
        <w:t>Néanmoins, le fait qu’elles soient définies plus précisément au niveau national dans les plans stratégiques risque de conduire à des stratégies de moins-disant environnemental et de moindre coût de production pour gagner des parts de marché, amenant à des distorsions de concurrence et au maintien de modes de production défavorables à l’environnement.</w:t>
      </w:r>
    </w:p>
    <w:p w:rsidR="00DD2FC3" w:rsidRPr="00C27582" w:rsidRDefault="00DD2FC3" w:rsidP="00DD2FC3">
      <w:pPr>
        <w:pStyle w:val="ListParagraph"/>
        <w:numPr>
          <w:ilvl w:val="1"/>
          <w:numId w:val="17"/>
        </w:numPr>
        <w:suppressAutoHyphens/>
        <w:autoSpaceDN w:val="0"/>
        <w:spacing w:line="276" w:lineRule="auto"/>
        <w:textAlignment w:val="baseline"/>
      </w:pPr>
      <w:r w:rsidRPr="00C27582">
        <w:t>Par ailleurs, elles s’avèrent insuffisantes au regard des enjeux climatiques et de biodiversité. Par exemple, il est indispensable de réduire l’utilisation des engrais azotés chimiques, dont la fabrication consomme une énorme quantité d’énergie et dont l’utilisation dans les sols dégage des très puissants gaz à effet de serre (50</w:t>
      </w:r>
      <w:r>
        <w:t> </w:t>
      </w:r>
      <w:r w:rsidRPr="00C27582">
        <w:t>% des émissions agricoles)</w:t>
      </w:r>
      <w:r w:rsidRPr="00C27582">
        <w:rPr>
          <w:rStyle w:val="FootnoteReference"/>
        </w:rPr>
        <w:footnoteReference w:id="1"/>
      </w:r>
      <w:r w:rsidRPr="00C27582">
        <w:t xml:space="preserve"> Pour compenser, à l’obligation de rotation des cultures doit s’ajouter celle ’de l’insertion d’une culture de légumineuses, fixatrice naturelle d’azote. Le Comité propose également de restaurer l’obligation d’un minimum de surface d’intérêt écologique par exploitation.</w:t>
      </w:r>
    </w:p>
    <w:p w:rsidR="00DD2FC3" w:rsidRPr="00C27582" w:rsidRDefault="00DD2FC3" w:rsidP="00DD2FC3">
      <w:pPr>
        <w:pStyle w:val="ListParagraph"/>
        <w:numPr>
          <w:ilvl w:val="1"/>
          <w:numId w:val="17"/>
        </w:numPr>
        <w:suppressAutoHyphens/>
        <w:autoSpaceDN w:val="0"/>
        <w:spacing w:line="276" w:lineRule="auto"/>
        <w:textAlignment w:val="baseline"/>
      </w:pPr>
      <w:r w:rsidRPr="00C27582">
        <w:t xml:space="preserve">Le Comité appelle les </w:t>
      </w:r>
      <w:proofErr w:type="spellStart"/>
      <w:r w:rsidRPr="00C27582">
        <w:t>co</w:t>
      </w:r>
      <w:proofErr w:type="spellEnd"/>
      <w:r w:rsidRPr="00C27582">
        <w:t>-législateurs à compléter la liste proposée et à en préciser davantage les modalités dans le règlement européen, afin de garantir un impact européen suffisant</w:t>
      </w:r>
      <w:r>
        <w:t>;</w:t>
      </w:r>
    </w:p>
    <w:p w:rsidR="000C5933" w:rsidRPr="00C27582" w:rsidRDefault="000C5933" w:rsidP="00DD2FC3">
      <w:pPr>
        <w:spacing w:line="276" w:lineRule="auto"/>
      </w:pP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éco-dispositifs:</w:t>
      </w:r>
      <w:r w:rsidRPr="00C27582">
        <w:t xml:space="preserve"> le Comité approuve ce dispositif, mais étant donné qu’il n’y a aucun minimum budgétaire pour des mesures non précisées à décider par chaque État membre, le risque est de voir ces mesures réduites à une peau de chagrin, malgré les enjeux. Le Comité propose un minimum de 10</w:t>
      </w:r>
      <w:r>
        <w:t> </w:t>
      </w:r>
      <w:r w:rsidRPr="00C27582">
        <w:t>% de l’enveloppe nationale des paiements. Le règlement européen pourrait établir une liste variée de mesures, dont une partie obligatoire</w:t>
      </w:r>
      <w:r w:rsidRPr="00C27582">
        <w:rPr>
          <w:rStyle w:val="FootnoteReference"/>
        </w:rPr>
        <w:footnoteReference w:id="2"/>
      </w:r>
      <w:r w:rsidRPr="00C27582">
        <w:t>, et une partie facultative, dans laquelle les États membres pourraient choisir les plus appropriées</w:t>
      </w:r>
      <w:r>
        <w:t>;</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climat:</w:t>
      </w:r>
      <w:r w:rsidRPr="00C27582">
        <w:t xml:space="preserve"> l’objectif de 40</w:t>
      </w:r>
      <w:r>
        <w:t> </w:t>
      </w:r>
      <w:r w:rsidRPr="00C27582">
        <w:t>%</w:t>
      </w:r>
      <w:r w:rsidRPr="00C27582">
        <w:rPr>
          <w:b/>
        </w:rPr>
        <w:t xml:space="preserve"> </w:t>
      </w:r>
      <w:r w:rsidRPr="00C27582">
        <w:t>de l’enveloppe financière globale de la PAC contribuant aux objectifs climatiques est louable, mais rien n’est précisé quant à sa réalisation, alors que l’enjeu est primordial. Pour le Comité, chaque plan stratégique national doit atteindre ce seuil minimum de 40</w:t>
      </w:r>
      <w:r>
        <w:t> </w:t>
      </w:r>
      <w:r w:rsidRPr="00C27582">
        <w:t>%.</w:t>
      </w:r>
    </w:p>
    <w:p w:rsidR="00DD2FC3" w:rsidRPr="00C27582" w:rsidRDefault="00DD2FC3" w:rsidP="00DD2FC3">
      <w:pPr>
        <w:spacing w:line="276" w:lineRule="auto"/>
      </w:pPr>
    </w:p>
    <w:p w:rsidR="00DD2FC3" w:rsidRPr="00E168AD" w:rsidRDefault="00DD2FC3" w:rsidP="00DD2FC3">
      <w:pPr>
        <w:pStyle w:val="ListParagraph"/>
        <w:keepNext/>
        <w:numPr>
          <w:ilvl w:val="0"/>
          <w:numId w:val="16"/>
        </w:numPr>
        <w:suppressAutoHyphens/>
        <w:autoSpaceDN w:val="0"/>
        <w:spacing w:line="276" w:lineRule="auto"/>
        <w:contextualSpacing w:val="0"/>
        <w:textAlignment w:val="baseline"/>
      </w:pPr>
      <w:r w:rsidRPr="00C27582">
        <w:rPr>
          <w:b/>
        </w:rPr>
        <w:tab/>
        <w:t>Développement rural</w:t>
      </w:r>
    </w:p>
    <w:p w:rsidR="00DD2FC3" w:rsidRPr="00C27582" w:rsidRDefault="00DD2FC3" w:rsidP="00DD2FC3">
      <w:pPr>
        <w:keepNext/>
        <w:suppressAutoHyphens/>
        <w:spacing w:line="276" w:lineRule="auto"/>
      </w:pPr>
    </w:p>
    <w:p w:rsidR="00DD2FC3" w:rsidRDefault="00DD2FC3" w:rsidP="00DD2FC3">
      <w:pPr>
        <w:suppressAutoHyphens/>
        <w:spacing w:line="276" w:lineRule="auto"/>
      </w:pPr>
      <w:proofErr w:type="gramStart"/>
      <w:r w:rsidRPr="00C27582">
        <w:t xml:space="preserve">Le </w:t>
      </w:r>
      <w:proofErr w:type="spellStart"/>
      <w:r w:rsidRPr="00C27582">
        <w:t>Comité</w:t>
      </w:r>
      <w:proofErr w:type="spellEnd"/>
      <w:r w:rsidRPr="00C27582">
        <w:t xml:space="preserve"> </w:t>
      </w:r>
      <w:proofErr w:type="spellStart"/>
      <w:r w:rsidRPr="00C27582">
        <w:t>s’oppose</w:t>
      </w:r>
      <w:proofErr w:type="spellEnd"/>
      <w:r w:rsidRPr="00C27582">
        <w:t xml:space="preserve"> à la </w:t>
      </w:r>
      <w:proofErr w:type="spellStart"/>
      <w:r w:rsidRPr="00C27582">
        <w:t>baisse</w:t>
      </w:r>
      <w:proofErr w:type="spellEnd"/>
      <w:r w:rsidRPr="00C27582">
        <w:t xml:space="preserve"> </w:t>
      </w:r>
      <w:proofErr w:type="spellStart"/>
      <w:r w:rsidRPr="00C27582">
        <w:t>drastique</w:t>
      </w:r>
      <w:proofErr w:type="spellEnd"/>
      <w:r w:rsidRPr="00C27582">
        <w:t xml:space="preserve"> du budget du 2</w:t>
      </w:r>
      <w:r w:rsidRPr="00C27582">
        <w:rPr>
          <w:vertAlign w:val="superscript"/>
        </w:rPr>
        <w:t>e</w:t>
      </w:r>
      <w:r>
        <w:t> </w:t>
      </w:r>
      <w:proofErr w:type="spellStart"/>
      <w:r w:rsidRPr="00C27582">
        <w:t>pilier</w:t>
      </w:r>
      <w:proofErr w:type="spellEnd"/>
      <w:r w:rsidRPr="00C27582">
        <w:t xml:space="preserve"> de la PAC, qui </w:t>
      </w:r>
      <w:proofErr w:type="spellStart"/>
      <w:r w:rsidRPr="00C27582">
        <w:t>risque</w:t>
      </w:r>
      <w:proofErr w:type="spellEnd"/>
      <w:r w:rsidRPr="00C27582">
        <w:t xml:space="preserve"> de </w:t>
      </w:r>
      <w:proofErr w:type="spellStart"/>
      <w:r w:rsidRPr="00C27582">
        <w:t>renforcer</w:t>
      </w:r>
      <w:proofErr w:type="spellEnd"/>
      <w:r w:rsidRPr="00C27582">
        <w:t xml:space="preserve"> </w:t>
      </w:r>
      <w:proofErr w:type="spellStart"/>
      <w:r w:rsidRPr="00C27582">
        <w:t>l’abandon</w:t>
      </w:r>
      <w:proofErr w:type="spellEnd"/>
      <w:r w:rsidRPr="00C27582">
        <w:t xml:space="preserve"> </w:t>
      </w:r>
      <w:proofErr w:type="spellStart"/>
      <w:r w:rsidRPr="00C27582">
        <w:t>économique</w:t>
      </w:r>
      <w:proofErr w:type="spellEnd"/>
      <w:r w:rsidRPr="00C27582">
        <w:t xml:space="preserve"> de </w:t>
      </w:r>
      <w:proofErr w:type="spellStart"/>
      <w:r w:rsidRPr="00C27582">
        <w:t>nombreux</w:t>
      </w:r>
      <w:proofErr w:type="spellEnd"/>
      <w:r w:rsidRPr="00C27582">
        <w:t xml:space="preserve"> </w:t>
      </w:r>
      <w:proofErr w:type="spellStart"/>
      <w:r w:rsidRPr="00C27582">
        <w:t>territoires</w:t>
      </w:r>
      <w:proofErr w:type="spellEnd"/>
      <w:r w:rsidRPr="00C27582">
        <w:t xml:space="preserve"> </w:t>
      </w:r>
      <w:proofErr w:type="spellStart"/>
      <w:r w:rsidRPr="00C27582">
        <w:t>ruraux</w:t>
      </w:r>
      <w:proofErr w:type="spellEnd"/>
      <w:r w:rsidRPr="00C27582">
        <w:t>.</w:t>
      </w:r>
      <w:proofErr w:type="gramEnd"/>
      <w:r w:rsidRPr="00C27582">
        <w:t xml:space="preserve"> </w:t>
      </w:r>
      <w:proofErr w:type="gramStart"/>
      <w:r w:rsidRPr="00C27582">
        <w:t>Il</w:t>
      </w:r>
      <w:proofErr w:type="gramEnd"/>
      <w:r w:rsidRPr="00C27582">
        <w:t xml:space="preserve"> </w:t>
      </w:r>
      <w:proofErr w:type="spellStart"/>
      <w:r w:rsidRPr="00C27582">
        <w:t>souhaite</w:t>
      </w:r>
      <w:proofErr w:type="spellEnd"/>
      <w:r w:rsidRPr="00C27582">
        <w:t xml:space="preserve"> </w:t>
      </w:r>
      <w:proofErr w:type="spellStart"/>
      <w:r w:rsidRPr="00C27582">
        <w:t>maintenir</w:t>
      </w:r>
      <w:proofErr w:type="spellEnd"/>
      <w:r w:rsidRPr="00C27582">
        <w:t xml:space="preserve"> </w:t>
      </w:r>
      <w:proofErr w:type="spellStart"/>
      <w:r w:rsidRPr="00C27582">
        <w:t>l’enveloppe</w:t>
      </w:r>
      <w:proofErr w:type="spellEnd"/>
      <w:r w:rsidRPr="00C27582">
        <w:t xml:space="preserve"> </w:t>
      </w:r>
      <w:proofErr w:type="spellStart"/>
      <w:r w:rsidRPr="00C27582">
        <w:t>globale</w:t>
      </w:r>
      <w:proofErr w:type="spellEnd"/>
      <w:r w:rsidRPr="00C27582">
        <w:t xml:space="preserve"> </w:t>
      </w:r>
      <w:proofErr w:type="spellStart"/>
      <w:r w:rsidRPr="00C27582">
        <w:t>consacrée</w:t>
      </w:r>
      <w:proofErr w:type="spellEnd"/>
      <w:r w:rsidRPr="00C27582">
        <w:t xml:space="preserve"> </w:t>
      </w:r>
      <w:proofErr w:type="spellStart"/>
      <w:r w:rsidRPr="00C27582">
        <w:t>actuellement</w:t>
      </w:r>
      <w:proofErr w:type="spellEnd"/>
      <w:r w:rsidRPr="00C27582">
        <w:t xml:space="preserve"> au </w:t>
      </w:r>
      <w:proofErr w:type="spellStart"/>
      <w:r w:rsidRPr="00C27582">
        <w:t>développement</w:t>
      </w:r>
      <w:proofErr w:type="spellEnd"/>
      <w:r w:rsidRPr="00C27582">
        <w:t xml:space="preserve"> rural par </w:t>
      </w:r>
      <w:proofErr w:type="spellStart"/>
      <w:r w:rsidRPr="00C27582">
        <w:t>l’UE</w:t>
      </w:r>
      <w:proofErr w:type="spellEnd"/>
      <w:r w:rsidRPr="00C27582">
        <w:t xml:space="preserve"> et </w:t>
      </w:r>
      <w:proofErr w:type="spellStart"/>
      <w:r w:rsidRPr="00C27582">
        <w:t>ses</w:t>
      </w:r>
      <w:proofErr w:type="spellEnd"/>
      <w:r w:rsidRPr="00C27582">
        <w:t xml:space="preserve"> </w:t>
      </w:r>
      <w:proofErr w:type="spellStart"/>
      <w:r w:rsidRPr="00C27582">
        <w:t>États</w:t>
      </w:r>
      <w:proofErr w:type="spellEnd"/>
      <w:r w:rsidRPr="00C27582">
        <w:t xml:space="preserve"> </w:t>
      </w:r>
      <w:proofErr w:type="spellStart"/>
      <w:r w:rsidRPr="00C27582">
        <w:t>membres</w:t>
      </w:r>
      <w:proofErr w:type="spellEnd"/>
      <w:r w:rsidRPr="00C27582">
        <w:t>.</w:t>
      </w:r>
    </w:p>
    <w:p w:rsidR="00DD2FC3" w:rsidRPr="00C27582" w:rsidRDefault="00DD2FC3" w:rsidP="00DD2FC3">
      <w:pPr>
        <w:suppressAutoHyphens/>
        <w:spacing w:line="276" w:lineRule="auto"/>
      </w:pP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 xml:space="preserve">co-financement: </w:t>
      </w:r>
      <w:r w:rsidRPr="00C27582">
        <w:t>Si, comme le demande le Comité, le budget du développement rural est maintenu à son niveau actuel, le Comité souhaite le maintien des taux de cofinancement actuels, avec un taux porté à 80</w:t>
      </w:r>
      <w:r>
        <w:t> </w:t>
      </w:r>
      <w:r w:rsidRPr="00C27582">
        <w:t>% pour les 3</w:t>
      </w:r>
      <w:r>
        <w:t> </w:t>
      </w:r>
      <w:r w:rsidRPr="00C27582">
        <w:t xml:space="preserve">mesures suivantes: MAE, </w:t>
      </w:r>
      <w:proofErr w:type="spellStart"/>
      <w:r w:rsidRPr="00C27582">
        <w:t>Natura</w:t>
      </w:r>
      <w:proofErr w:type="spellEnd"/>
      <w:r w:rsidRPr="00C27582">
        <w:t xml:space="preserve"> 2000, et mesures de coopération. Si ce budget venait à être amputé dans la proportion proposée par la Commission, le Comité approuve les modifications de co-financement proposées, qui favoriseraient les 3</w:t>
      </w:r>
      <w:r>
        <w:t> </w:t>
      </w:r>
      <w:r w:rsidRPr="00C27582">
        <w:t xml:space="preserve">mesures précitées, </w:t>
      </w:r>
      <w:proofErr w:type="spellStart"/>
      <w:r w:rsidRPr="00C27582">
        <w:t>co-financées</w:t>
      </w:r>
      <w:proofErr w:type="spellEnd"/>
      <w:r w:rsidRPr="00C27582">
        <w:t xml:space="preserve"> à 80</w:t>
      </w:r>
      <w:r>
        <w:t> </w:t>
      </w:r>
      <w:r w:rsidRPr="00C27582">
        <w:t>%</w:t>
      </w:r>
      <w:r>
        <w:t>;</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transfert du 2</w:t>
      </w:r>
      <w:r w:rsidRPr="00C27582">
        <w:rPr>
          <w:b/>
          <w:vertAlign w:val="superscript"/>
        </w:rPr>
        <w:t>e</w:t>
      </w:r>
      <w:r w:rsidRPr="00C27582">
        <w:rPr>
          <w:b/>
        </w:rPr>
        <w:t xml:space="preserve"> vers le 1</w:t>
      </w:r>
      <w:r w:rsidRPr="00C27582">
        <w:rPr>
          <w:b/>
          <w:vertAlign w:val="superscript"/>
        </w:rPr>
        <w:t>er</w:t>
      </w:r>
      <w:r>
        <w:rPr>
          <w:b/>
        </w:rPr>
        <w:t> </w:t>
      </w:r>
      <w:r w:rsidRPr="00C27582">
        <w:rPr>
          <w:b/>
        </w:rPr>
        <w:t>pilier:</w:t>
      </w:r>
      <w:r w:rsidRPr="00C27582">
        <w:t xml:space="preserve"> le Comité s’oppose à cette possibilité, qui va à l’encontre des intérêts des territoires ruraux, et approuve le transfert inverse</w:t>
      </w:r>
      <w:r>
        <w:t>;</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gestion des risques/ assurances revenu</w:t>
      </w:r>
      <w:r w:rsidRPr="00C27582">
        <w:t>: comme l’a exprimé le Comité dans son avis de prospective, il s’agit là d’un instrument coûteux, qui ne prévient pas les crises mais s’en accommode. Cet instrument n’a rien à faire dans les fonds de développement rural, dont il risque d’absorber trop de fonds, surtout avec un abaissement du seuil de déclenchement</w:t>
      </w:r>
      <w:r>
        <w:t>;</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Leader:</w:t>
      </w:r>
      <w:r w:rsidRPr="00C27582">
        <w:t xml:space="preserve"> le Comité approuve le maintien d’un plancher de 5</w:t>
      </w:r>
      <w:r>
        <w:t> </w:t>
      </w:r>
      <w:r w:rsidRPr="00C27582">
        <w:t>% pour les programmes Leader, qui permet le développement d’initiatives locales territoriales</w:t>
      </w:r>
      <w:r>
        <w:t>;</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qualité, modes de production:</w:t>
      </w:r>
      <w:r w:rsidRPr="00C27582">
        <w:t xml:space="preserve"> le Comité propose d’obliger les États membres à inclure dans leurs plans de développement rural des mesures </w:t>
      </w:r>
      <w:proofErr w:type="spellStart"/>
      <w:r w:rsidRPr="00C27582">
        <w:t>co-financées</w:t>
      </w:r>
      <w:proofErr w:type="spellEnd"/>
      <w:r w:rsidRPr="00C27582">
        <w:t xml:space="preserve"> en faveur des filières courtes, des filières sous AOP, de la formation en agriculture biologique et en agro-écologie-foresterie, etc.</w:t>
      </w:r>
    </w:p>
    <w:p w:rsidR="00DD2FC3" w:rsidRPr="00C27582" w:rsidRDefault="00DD2FC3" w:rsidP="00DD2FC3">
      <w:pPr>
        <w:pStyle w:val="ListParagraph"/>
        <w:numPr>
          <w:ilvl w:val="0"/>
          <w:numId w:val="17"/>
        </w:numPr>
        <w:suppressAutoHyphens/>
        <w:autoSpaceDN w:val="0"/>
        <w:spacing w:line="276" w:lineRule="auto"/>
        <w:textAlignment w:val="baseline"/>
      </w:pPr>
      <w:r w:rsidRPr="00C27582">
        <w:rPr>
          <w:b/>
        </w:rPr>
        <w:t>cadre stratégique commun</w:t>
      </w:r>
      <w:r w:rsidRPr="00C27582">
        <w:t>: pour augmenter les synergies de développement des territoires ruraux, le Comité demande la réintroduction du développement rural dans le cadre stratégique commun et l’augmentation des fonds globaux du développement rural.</w:t>
      </w:r>
    </w:p>
    <w:p w:rsidR="00DD2FC3" w:rsidRPr="00C27582" w:rsidRDefault="00DD2FC3" w:rsidP="00DD2FC3">
      <w:pPr>
        <w:spacing w:line="276" w:lineRule="auto"/>
      </w:pPr>
    </w:p>
    <w:p w:rsidR="00DD2FC3" w:rsidRPr="00C27582" w:rsidRDefault="00DD2FC3" w:rsidP="00DD2FC3">
      <w:pPr>
        <w:pStyle w:val="ListParagraph"/>
        <w:numPr>
          <w:ilvl w:val="0"/>
          <w:numId w:val="16"/>
        </w:numPr>
        <w:autoSpaceDN w:val="0"/>
        <w:spacing w:line="276" w:lineRule="auto"/>
        <w:contextualSpacing w:val="0"/>
      </w:pPr>
      <w:r w:rsidRPr="00C27582">
        <w:rPr>
          <w:b/>
        </w:rPr>
        <w:t xml:space="preserve">Recherche </w:t>
      </w:r>
      <w:r>
        <w:rPr>
          <w:b/>
        </w:rPr>
        <w:t>–</w:t>
      </w:r>
      <w:r w:rsidRPr="00C27582">
        <w:rPr>
          <w:b/>
        </w:rPr>
        <w:t xml:space="preserve"> innovation</w:t>
      </w:r>
      <w:r w:rsidRPr="00C27582">
        <w:t>: faire plus pour l’environnement, c’est faire plus pour l’agriculture et l’innovation. Le Comité propose que, dans le cadre du programme de recherche Horizon 2020 et du suivant, la priorité soit donnée, en matière d’agriculture, à la recherche sur les modes de production agro-écologiques et d’agroforesterie.</w:t>
      </w:r>
    </w:p>
    <w:p w:rsidR="00AF0D44" w:rsidRDefault="00AF0D44" w:rsidP="00AF0D44">
      <w:pPr>
        <w:rPr>
          <w:lang w:val="fr-FR"/>
        </w:rPr>
      </w:pPr>
    </w:p>
    <w:p w:rsidR="00AF0D44" w:rsidRPr="00611E8C" w:rsidRDefault="00AF0D44" w:rsidP="00AF0D44">
      <w:pPr>
        <w:keepNext/>
        <w:numPr>
          <w:ilvl w:val="0"/>
          <w:numId w:val="15"/>
        </w:numPr>
        <w:ind w:left="567" w:hanging="567"/>
        <w:rPr>
          <w:b/>
          <w:bCs/>
          <w:lang w:val="fr-FR"/>
        </w:rPr>
      </w:pPr>
      <w:r w:rsidRPr="00611E8C">
        <w:rPr>
          <w:lang w:val="fr-FR"/>
        </w:rPr>
        <w:br w:type="page"/>
      </w:r>
      <w:r w:rsidRPr="00611E8C">
        <w:rPr>
          <w:b/>
          <w:bCs/>
          <w:lang w:val="fr-FR"/>
        </w:rPr>
        <w:lastRenderedPageBreak/>
        <w:t>PROCÉDURE</w:t>
      </w:r>
    </w:p>
    <w:p w:rsidR="00AF0D44" w:rsidRPr="00611E8C" w:rsidRDefault="00AF0D44" w:rsidP="00AF0D44">
      <w:pPr>
        <w:rPr>
          <w:lang w:val="fr-FR"/>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AF0D44" w:rsidRPr="00611E8C" w:rsidTr="00DD2FC3">
        <w:tc>
          <w:tcPr>
            <w:tcW w:w="3848" w:type="dxa"/>
            <w:noWrap/>
          </w:tcPr>
          <w:p w:rsidR="00AF0D44" w:rsidRPr="00611E8C" w:rsidRDefault="00AF0D44" w:rsidP="002E1BEB">
            <w:pPr>
              <w:jc w:val="left"/>
              <w:rPr>
                <w:b/>
                <w:lang w:val="fr-FR"/>
              </w:rPr>
            </w:pPr>
            <w:r w:rsidRPr="00611E8C">
              <w:rPr>
                <w:b/>
                <w:lang w:val="fr-FR"/>
              </w:rPr>
              <w:t>Titre</w:t>
            </w:r>
          </w:p>
          <w:p w:rsidR="00AF0D44" w:rsidRPr="00611E8C" w:rsidRDefault="00AF0D44" w:rsidP="002E1BEB">
            <w:pPr>
              <w:jc w:val="left"/>
              <w:rPr>
                <w:lang w:val="fr-FR"/>
              </w:rPr>
            </w:pPr>
          </w:p>
        </w:tc>
        <w:tc>
          <w:tcPr>
            <w:tcW w:w="5441" w:type="dxa"/>
            <w:noWrap/>
          </w:tcPr>
          <w:p w:rsidR="00AF0D44" w:rsidRPr="00611E8C" w:rsidRDefault="00DD2FC3" w:rsidP="002E1BEB">
            <w:pPr>
              <w:rPr>
                <w:lang w:val="fr-FR"/>
              </w:rPr>
            </w:pPr>
            <w:r w:rsidRPr="00DD2FC3">
              <w:rPr>
                <w:lang w:val="fr-FR"/>
              </w:rPr>
              <w:t>Réforme de la PAC</w:t>
            </w:r>
          </w:p>
        </w:tc>
      </w:tr>
      <w:tr w:rsidR="00AF0D44" w:rsidRPr="00611E8C" w:rsidTr="00DD2FC3">
        <w:tc>
          <w:tcPr>
            <w:tcW w:w="3848" w:type="dxa"/>
            <w:noWrap/>
          </w:tcPr>
          <w:p w:rsidR="00AF0D44" w:rsidRPr="00611E8C" w:rsidRDefault="00AF0D44" w:rsidP="002E1BEB">
            <w:pPr>
              <w:jc w:val="left"/>
              <w:rPr>
                <w:b/>
                <w:lang w:val="fr-FR"/>
              </w:rPr>
            </w:pPr>
            <w:r w:rsidRPr="00611E8C">
              <w:rPr>
                <w:b/>
                <w:lang w:val="fr-FR"/>
              </w:rPr>
              <w:t xml:space="preserve">Références </w:t>
            </w:r>
          </w:p>
        </w:tc>
        <w:tc>
          <w:tcPr>
            <w:tcW w:w="5441" w:type="dxa"/>
            <w:noWrap/>
          </w:tcPr>
          <w:p w:rsidR="00AF0D44" w:rsidRPr="00611E8C" w:rsidRDefault="00DD2FC3" w:rsidP="00DD2FC3">
            <w:pPr>
              <w:rPr>
                <w:lang w:val="fr-FR"/>
              </w:rPr>
            </w:pPr>
            <w:r w:rsidRPr="00DD2FC3">
              <w:rPr>
                <w:lang w:val="fr-FR"/>
              </w:rPr>
              <w:t>COM/2018/392</w:t>
            </w:r>
            <w:r>
              <w:rPr>
                <w:lang w:val="fr-FR"/>
              </w:rPr>
              <w:t xml:space="preserve">, </w:t>
            </w:r>
            <w:r w:rsidRPr="00DD2FC3">
              <w:rPr>
                <w:lang w:val="fr-FR"/>
              </w:rPr>
              <w:t>COM/2018/39</w:t>
            </w:r>
            <w:r>
              <w:rPr>
                <w:lang w:val="fr-FR"/>
              </w:rPr>
              <w:t xml:space="preserve">3 et </w:t>
            </w:r>
            <w:r w:rsidRPr="00DD2FC3">
              <w:rPr>
                <w:lang w:val="fr-FR"/>
              </w:rPr>
              <w:t>COM/2018/39</w:t>
            </w:r>
            <w:r>
              <w:rPr>
                <w:lang w:val="fr-FR"/>
              </w:rPr>
              <w:t>4</w:t>
            </w:r>
          </w:p>
        </w:tc>
      </w:tr>
      <w:tr w:rsidR="00DD2FC3" w:rsidRPr="00611E8C" w:rsidTr="00DD2FC3">
        <w:tc>
          <w:tcPr>
            <w:tcW w:w="3848" w:type="dxa"/>
            <w:noWrap/>
          </w:tcPr>
          <w:p w:rsidR="00DD2FC3" w:rsidRPr="00611E8C" w:rsidRDefault="00DD2FC3" w:rsidP="002E1BEB">
            <w:pPr>
              <w:jc w:val="left"/>
              <w:rPr>
                <w:b/>
                <w:lang w:val="fr-FR"/>
              </w:rPr>
            </w:pPr>
            <w:r w:rsidRPr="00611E8C">
              <w:rPr>
                <w:b/>
                <w:lang w:val="fr-FR"/>
              </w:rPr>
              <w:t>Base juridique</w:t>
            </w:r>
          </w:p>
        </w:tc>
        <w:tc>
          <w:tcPr>
            <w:tcW w:w="5441" w:type="dxa"/>
            <w:noWrap/>
          </w:tcPr>
          <w:p w:rsidR="00DD2FC3" w:rsidRPr="00D56DFB" w:rsidRDefault="00DD2FC3" w:rsidP="00A73488">
            <w:r w:rsidRPr="006052B1">
              <w:t>Art. 307, 1er al.</w:t>
            </w:r>
          </w:p>
        </w:tc>
      </w:tr>
      <w:tr w:rsidR="00DD2FC3" w:rsidRPr="00611E8C" w:rsidTr="00DD2FC3">
        <w:tc>
          <w:tcPr>
            <w:tcW w:w="3848" w:type="dxa"/>
            <w:noWrap/>
          </w:tcPr>
          <w:p w:rsidR="00DD2FC3" w:rsidRPr="00611E8C" w:rsidRDefault="00DD2FC3" w:rsidP="002E1BEB">
            <w:pPr>
              <w:jc w:val="left"/>
              <w:rPr>
                <w:b/>
                <w:lang w:val="fr-FR"/>
              </w:rPr>
            </w:pPr>
            <w:r w:rsidRPr="00611E8C">
              <w:rPr>
                <w:b/>
                <w:lang w:val="fr-FR"/>
              </w:rPr>
              <w:t>Base réglementaire</w:t>
            </w:r>
          </w:p>
        </w:tc>
        <w:tc>
          <w:tcPr>
            <w:tcW w:w="5441" w:type="dxa"/>
            <w:noWrap/>
          </w:tcPr>
          <w:p w:rsidR="00DD2FC3" w:rsidRPr="00D56DFB" w:rsidRDefault="00DD2FC3" w:rsidP="00A73488">
            <w:r w:rsidRPr="006052B1">
              <w:t>Art. 41, a)</w:t>
            </w:r>
          </w:p>
        </w:tc>
      </w:tr>
      <w:tr w:rsidR="00AF0D44" w:rsidRPr="00611E8C" w:rsidTr="00DD2FC3">
        <w:tc>
          <w:tcPr>
            <w:tcW w:w="3848" w:type="dxa"/>
            <w:noWrap/>
          </w:tcPr>
          <w:p w:rsidR="00DD2FC3" w:rsidRDefault="00AF0D44" w:rsidP="002E1BEB">
            <w:pPr>
              <w:jc w:val="left"/>
              <w:rPr>
                <w:b/>
                <w:lang w:val="fr-FR"/>
              </w:rPr>
            </w:pPr>
            <w:r w:rsidRPr="00611E8C">
              <w:rPr>
                <w:b/>
                <w:lang w:val="fr-FR"/>
              </w:rPr>
              <w:t>Date de la saisine du Conseil</w:t>
            </w:r>
          </w:p>
          <w:p w:rsidR="00DD2FC3" w:rsidRDefault="00DD2FC3" w:rsidP="002E1BEB">
            <w:pPr>
              <w:jc w:val="left"/>
              <w:rPr>
                <w:b/>
                <w:lang w:val="fr-FR"/>
              </w:rPr>
            </w:pPr>
            <w:r w:rsidRPr="00611E8C">
              <w:rPr>
                <w:b/>
                <w:lang w:val="fr-FR"/>
              </w:rPr>
              <w:t xml:space="preserve">Date de la saisine </w:t>
            </w:r>
            <w:r>
              <w:rPr>
                <w:b/>
                <w:lang w:val="fr-FR"/>
              </w:rPr>
              <w:t>d</w:t>
            </w:r>
            <w:r w:rsidR="00AF0D44" w:rsidRPr="00611E8C">
              <w:rPr>
                <w:b/>
                <w:lang w:val="fr-FR"/>
              </w:rPr>
              <w:t>u Parlement</w:t>
            </w:r>
          </w:p>
          <w:p w:rsidR="00AF0D44" w:rsidRPr="00611E8C" w:rsidRDefault="00AF0D44" w:rsidP="002E1BEB">
            <w:pPr>
              <w:jc w:val="left"/>
              <w:rPr>
                <w:lang w:val="fr-FR"/>
              </w:rPr>
            </w:pPr>
            <w:r w:rsidRPr="00611E8C">
              <w:rPr>
                <w:b/>
                <w:lang w:val="fr-FR"/>
              </w:rPr>
              <w:t>Date de la lettre de la Commission</w:t>
            </w:r>
          </w:p>
        </w:tc>
        <w:tc>
          <w:tcPr>
            <w:tcW w:w="5441" w:type="dxa"/>
            <w:noWrap/>
          </w:tcPr>
          <w:p w:rsidR="00AF0D44" w:rsidRDefault="00DD2FC3" w:rsidP="002E1BEB">
            <w:pPr>
              <w:rPr>
                <w:lang w:val="fr-FR"/>
              </w:rPr>
            </w:pPr>
            <w:r>
              <w:rPr>
                <w:lang w:val="fr-FR"/>
              </w:rPr>
              <w:t>28/06/2018 et 6/07/2018</w:t>
            </w:r>
          </w:p>
          <w:p w:rsidR="00DD2FC3" w:rsidRDefault="00DD2FC3" w:rsidP="002E1BEB">
            <w:pPr>
              <w:rPr>
                <w:lang w:val="fr-FR"/>
              </w:rPr>
            </w:pPr>
            <w:r>
              <w:rPr>
                <w:lang w:val="fr-FR"/>
              </w:rPr>
              <w:t>11/06/2018</w:t>
            </w:r>
          </w:p>
          <w:p w:rsidR="00DD2FC3" w:rsidRPr="00611E8C" w:rsidRDefault="00DD2FC3" w:rsidP="002E1BEB">
            <w:pPr>
              <w:rPr>
                <w:lang w:val="fr-FR"/>
              </w:rPr>
            </w:pPr>
            <w:r>
              <w:rPr>
                <w:lang w:val="fr-FR"/>
              </w:rPr>
              <w:t>19/06/2</w:t>
            </w:r>
            <w:r w:rsidR="005C6B9D">
              <w:rPr>
                <w:lang w:val="fr-FR"/>
              </w:rPr>
              <w:t>0</w:t>
            </w:r>
            <w:r>
              <w:rPr>
                <w:lang w:val="fr-FR"/>
              </w:rPr>
              <w:t>18</w:t>
            </w:r>
          </w:p>
        </w:tc>
      </w:tr>
      <w:tr w:rsidR="00AF0D44" w:rsidRPr="00611E8C" w:rsidTr="00DD2FC3">
        <w:tc>
          <w:tcPr>
            <w:tcW w:w="3848" w:type="dxa"/>
            <w:noWrap/>
          </w:tcPr>
          <w:p w:rsidR="00AF0D44" w:rsidRPr="00611E8C" w:rsidRDefault="00AF0D44" w:rsidP="002E1BEB">
            <w:pPr>
              <w:jc w:val="left"/>
              <w:rPr>
                <w:lang w:val="fr-FR"/>
              </w:rPr>
            </w:pPr>
            <w:r w:rsidRPr="00611E8C">
              <w:rPr>
                <w:b/>
                <w:lang w:val="fr-FR"/>
              </w:rPr>
              <w:t>Date de la décision du Président/du Bureau</w:t>
            </w:r>
          </w:p>
        </w:tc>
        <w:tc>
          <w:tcPr>
            <w:tcW w:w="5441" w:type="dxa"/>
            <w:noWrap/>
          </w:tcPr>
          <w:p w:rsidR="00AF0D44" w:rsidRPr="00611E8C" w:rsidRDefault="00DD2FC3" w:rsidP="002E1BEB">
            <w:pPr>
              <w:rPr>
                <w:lang w:val="fr-FR"/>
              </w:rPr>
            </w:pPr>
            <w:r w:rsidRPr="00DD2FC3">
              <w:t>28/06/2018</w:t>
            </w:r>
          </w:p>
        </w:tc>
      </w:tr>
      <w:tr w:rsidR="00DD2FC3" w:rsidRPr="00611E8C" w:rsidTr="00DD2FC3">
        <w:tc>
          <w:tcPr>
            <w:tcW w:w="3848" w:type="dxa"/>
            <w:noWrap/>
          </w:tcPr>
          <w:p w:rsidR="00DD2FC3" w:rsidRPr="00611E8C" w:rsidRDefault="00DD2FC3" w:rsidP="002E1BEB">
            <w:pPr>
              <w:jc w:val="left"/>
              <w:rPr>
                <w:b/>
                <w:lang w:val="fr-FR"/>
              </w:rPr>
            </w:pPr>
            <w:r w:rsidRPr="00611E8C">
              <w:rPr>
                <w:b/>
                <w:lang w:val="fr-FR"/>
              </w:rPr>
              <w:t>Commission compétente</w:t>
            </w:r>
          </w:p>
        </w:tc>
        <w:tc>
          <w:tcPr>
            <w:tcW w:w="5441" w:type="dxa"/>
            <w:noWrap/>
          </w:tcPr>
          <w:p w:rsidR="00DD2FC3" w:rsidRPr="00DD2FC3" w:rsidRDefault="00DD2FC3" w:rsidP="00A73488">
            <w:pPr>
              <w:rPr>
                <w:lang w:val="fr-BE"/>
              </w:rPr>
            </w:pPr>
            <w:r w:rsidRPr="00DD2FC3">
              <w:rPr>
                <w:lang w:val="fr-BE"/>
              </w:rPr>
              <w:t>Commission des ressources naturelles</w:t>
            </w:r>
          </w:p>
        </w:tc>
      </w:tr>
      <w:tr w:rsidR="00AF0D44" w:rsidRPr="00611E8C" w:rsidTr="00DD2FC3">
        <w:tc>
          <w:tcPr>
            <w:tcW w:w="3848" w:type="dxa"/>
            <w:noWrap/>
          </w:tcPr>
          <w:p w:rsidR="00AF0D44" w:rsidRPr="00611E8C" w:rsidRDefault="00AF0D44" w:rsidP="00DD2FC3">
            <w:pPr>
              <w:jc w:val="left"/>
              <w:rPr>
                <w:b/>
                <w:lang w:val="fr-FR"/>
              </w:rPr>
            </w:pPr>
            <w:r w:rsidRPr="00611E8C">
              <w:rPr>
                <w:b/>
                <w:lang w:val="fr-FR"/>
              </w:rPr>
              <w:t>Rapporteur</w:t>
            </w:r>
          </w:p>
        </w:tc>
        <w:tc>
          <w:tcPr>
            <w:tcW w:w="5441" w:type="dxa"/>
            <w:noWrap/>
          </w:tcPr>
          <w:p w:rsidR="00AF0D44" w:rsidRPr="00DD2FC3" w:rsidRDefault="00DD2FC3" w:rsidP="002E1BEB">
            <w:pPr>
              <w:rPr>
                <w:lang w:val="fr-FR"/>
              </w:rPr>
            </w:pPr>
            <w:r w:rsidRPr="00DD2FC3">
              <w:rPr>
                <w:lang w:val="fr-FR"/>
              </w:rPr>
              <w:t>Guillaume Cros (FR/PES)</w:t>
            </w:r>
          </w:p>
        </w:tc>
      </w:tr>
      <w:tr w:rsidR="00AF0D44" w:rsidRPr="00611E8C" w:rsidTr="00DD2FC3">
        <w:tc>
          <w:tcPr>
            <w:tcW w:w="3848" w:type="dxa"/>
            <w:noWrap/>
          </w:tcPr>
          <w:p w:rsidR="00AF0D44" w:rsidRPr="00611E8C" w:rsidRDefault="00AF0D44" w:rsidP="002E1BEB">
            <w:pPr>
              <w:jc w:val="left"/>
              <w:rPr>
                <w:b/>
                <w:lang w:val="fr-FR"/>
              </w:rPr>
            </w:pPr>
            <w:r w:rsidRPr="00611E8C">
              <w:rPr>
                <w:b/>
                <w:lang w:val="fr-FR"/>
              </w:rPr>
              <w:t>Note d'analyse</w:t>
            </w:r>
          </w:p>
        </w:tc>
        <w:tc>
          <w:tcPr>
            <w:tcW w:w="5441" w:type="dxa"/>
            <w:noWrap/>
          </w:tcPr>
          <w:p w:rsidR="00AF0D44" w:rsidRPr="00611E8C" w:rsidRDefault="00DD2FC3" w:rsidP="00DD2FC3">
            <w:pPr>
              <w:rPr>
                <w:lang w:val="fr-FR"/>
              </w:rPr>
            </w:pPr>
            <w:r>
              <w:rPr>
                <w:lang w:val="fr-FR"/>
              </w:rPr>
              <w:t>Septembre 2018</w:t>
            </w:r>
          </w:p>
        </w:tc>
      </w:tr>
      <w:tr w:rsidR="00AF0D44" w:rsidRPr="00611E8C" w:rsidTr="00DD2FC3">
        <w:tc>
          <w:tcPr>
            <w:tcW w:w="3848" w:type="dxa"/>
            <w:noWrap/>
          </w:tcPr>
          <w:p w:rsidR="00AF0D44" w:rsidRPr="00611E8C" w:rsidRDefault="00AF0D44" w:rsidP="002E1BEB">
            <w:pPr>
              <w:jc w:val="left"/>
              <w:rPr>
                <w:b/>
                <w:lang w:val="fr-FR"/>
              </w:rPr>
            </w:pPr>
            <w:r w:rsidRPr="00611E8C">
              <w:rPr>
                <w:b/>
                <w:lang w:val="fr-FR"/>
              </w:rPr>
              <w:t>Examen en commission</w:t>
            </w:r>
          </w:p>
        </w:tc>
        <w:tc>
          <w:tcPr>
            <w:tcW w:w="5441" w:type="dxa"/>
            <w:noWrap/>
          </w:tcPr>
          <w:p w:rsidR="00AF0D44" w:rsidRPr="00611E8C" w:rsidRDefault="00C9292B" w:rsidP="002E1BEB">
            <w:pPr>
              <w:rPr>
                <w:lang w:val="fr-FR"/>
              </w:rPr>
            </w:pPr>
            <w:r>
              <w:rPr>
                <w:lang w:val="fr-BE"/>
              </w:rPr>
              <w:t>Prévue</w:t>
            </w:r>
            <w:r>
              <w:rPr>
                <w:lang w:val="fr-FR"/>
              </w:rPr>
              <w:t xml:space="preserve"> </w:t>
            </w:r>
            <w:r w:rsidR="00DD2FC3">
              <w:rPr>
                <w:lang w:val="fr-FR"/>
              </w:rPr>
              <w:t>1 octobre 2018</w:t>
            </w:r>
          </w:p>
        </w:tc>
      </w:tr>
      <w:tr w:rsidR="00DD2FC3" w:rsidRPr="00611E8C" w:rsidTr="00DD2FC3">
        <w:tc>
          <w:tcPr>
            <w:tcW w:w="3848" w:type="dxa"/>
            <w:noWrap/>
          </w:tcPr>
          <w:p w:rsidR="00DD2FC3" w:rsidRPr="00611E8C" w:rsidRDefault="00DD2FC3" w:rsidP="002E1BEB">
            <w:pPr>
              <w:jc w:val="left"/>
              <w:rPr>
                <w:b/>
                <w:lang w:val="fr-FR"/>
              </w:rPr>
            </w:pPr>
            <w:r w:rsidRPr="00611E8C">
              <w:rPr>
                <w:b/>
                <w:lang w:val="fr-FR"/>
              </w:rPr>
              <w:t>Date de l'adoption en commission</w:t>
            </w:r>
          </w:p>
        </w:tc>
        <w:tc>
          <w:tcPr>
            <w:tcW w:w="5441" w:type="dxa"/>
            <w:noWrap/>
          </w:tcPr>
          <w:p w:rsidR="00DD2FC3" w:rsidRPr="00611E8C" w:rsidRDefault="00C9292B" w:rsidP="00A73488">
            <w:pPr>
              <w:rPr>
                <w:lang w:val="fr-FR"/>
              </w:rPr>
            </w:pPr>
            <w:r>
              <w:rPr>
                <w:lang w:val="fr-BE"/>
              </w:rPr>
              <w:t>Prévue</w:t>
            </w:r>
            <w:r w:rsidRPr="00D904E2">
              <w:rPr>
                <w:lang w:val="fr-BE"/>
              </w:rPr>
              <w:t xml:space="preserve"> </w:t>
            </w:r>
            <w:r w:rsidR="00DD2FC3" w:rsidRPr="00D904E2">
              <w:rPr>
                <w:lang w:val="fr-BE"/>
              </w:rPr>
              <w:t>28 novembre 2018</w:t>
            </w:r>
          </w:p>
        </w:tc>
      </w:tr>
      <w:tr w:rsidR="00DD2FC3" w:rsidRPr="00611E8C" w:rsidTr="00DD2FC3">
        <w:tc>
          <w:tcPr>
            <w:tcW w:w="3848" w:type="dxa"/>
            <w:noWrap/>
          </w:tcPr>
          <w:p w:rsidR="00DD2FC3" w:rsidRPr="00611E8C" w:rsidRDefault="00DD2FC3" w:rsidP="002E1BEB">
            <w:pPr>
              <w:jc w:val="left"/>
              <w:rPr>
                <w:b/>
                <w:lang w:val="fr-FR"/>
              </w:rPr>
            </w:pPr>
            <w:r w:rsidRPr="00611E8C">
              <w:rPr>
                <w:b/>
                <w:lang w:val="fr-FR"/>
              </w:rPr>
              <w:t>Résultat du vote en commission (majorité/unanimité)</w:t>
            </w:r>
          </w:p>
        </w:tc>
        <w:tc>
          <w:tcPr>
            <w:tcW w:w="5441" w:type="dxa"/>
            <w:noWrap/>
          </w:tcPr>
          <w:p w:rsidR="00DD2FC3" w:rsidRPr="00611E8C" w:rsidRDefault="00DD2FC3" w:rsidP="002E1BEB">
            <w:pPr>
              <w:rPr>
                <w:lang w:val="fr-FR"/>
              </w:rPr>
            </w:pPr>
          </w:p>
        </w:tc>
      </w:tr>
      <w:tr w:rsidR="00DD2FC3" w:rsidRPr="00611E8C" w:rsidTr="00DD2FC3">
        <w:tc>
          <w:tcPr>
            <w:tcW w:w="3848" w:type="dxa"/>
            <w:noWrap/>
          </w:tcPr>
          <w:p w:rsidR="00DD2FC3" w:rsidRPr="00611E8C" w:rsidRDefault="00DD2FC3" w:rsidP="002E1BEB">
            <w:pPr>
              <w:jc w:val="left"/>
              <w:rPr>
                <w:b/>
                <w:lang w:val="fr-FR"/>
              </w:rPr>
            </w:pPr>
            <w:r w:rsidRPr="00611E8C">
              <w:rPr>
                <w:b/>
                <w:lang w:val="fr-FR"/>
              </w:rPr>
              <w:t>Date de l'adoption en session plénière</w:t>
            </w:r>
          </w:p>
        </w:tc>
        <w:tc>
          <w:tcPr>
            <w:tcW w:w="5441" w:type="dxa"/>
            <w:noWrap/>
          </w:tcPr>
          <w:p w:rsidR="00DD2FC3" w:rsidRPr="00611E8C" w:rsidRDefault="00C9292B" w:rsidP="002E1BEB">
            <w:pPr>
              <w:rPr>
                <w:lang w:val="fr-FR"/>
              </w:rPr>
            </w:pPr>
            <w:r>
              <w:rPr>
                <w:lang w:val="fr-BE"/>
              </w:rPr>
              <w:t xml:space="preserve">Prévue </w:t>
            </w:r>
            <w:r w:rsidR="005E1E17">
              <w:rPr>
                <w:lang w:val="fr-BE"/>
              </w:rPr>
              <w:t>6-7 février 2019</w:t>
            </w:r>
          </w:p>
        </w:tc>
      </w:tr>
      <w:tr w:rsidR="00DD2FC3" w:rsidRPr="00611E8C" w:rsidTr="00DD2FC3">
        <w:tc>
          <w:tcPr>
            <w:tcW w:w="3848" w:type="dxa"/>
            <w:noWrap/>
          </w:tcPr>
          <w:p w:rsidR="00DD2FC3" w:rsidRPr="00611E8C" w:rsidRDefault="00DD2FC3" w:rsidP="002E1BEB">
            <w:pPr>
              <w:jc w:val="left"/>
              <w:rPr>
                <w:b/>
                <w:lang w:val="fr-FR"/>
              </w:rPr>
            </w:pPr>
            <w:r w:rsidRPr="00611E8C">
              <w:rPr>
                <w:b/>
                <w:lang w:val="fr-FR"/>
              </w:rPr>
              <w:t>Avis antérieurs du Comité</w:t>
            </w:r>
          </w:p>
        </w:tc>
        <w:tc>
          <w:tcPr>
            <w:tcW w:w="5441" w:type="dxa"/>
            <w:noWrap/>
          </w:tcPr>
          <w:p w:rsidR="00DD2FC3" w:rsidRPr="004A2C3F" w:rsidRDefault="00DD2FC3" w:rsidP="00DD2FC3">
            <w:pPr>
              <w:spacing w:line="360" w:lineRule="auto"/>
              <w:rPr>
                <w:lang w:val="fr-BE"/>
              </w:rPr>
            </w:pPr>
            <w:r w:rsidRPr="004A2C3F">
              <w:rPr>
                <w:lang w:val="fr-BE"/>
              </w:rPr>
              <w:t>CdR 65/2012 fin – Avis du Comité des régions sur les «Propositions législatives sur la réforme de la politique agricole commune et de développement rural après 2013»</w:t>
            </w:r>
          </w:p>
          <w:p w:rsidR="00DD2FC3" w:rsidRPr="00611E8C" w:rsidRDefault="00DD2FC3" w:rsidP="00DD2FC3">
            <w:pPr>
              <w:spacing w:line="360" w:lineRule="auto"/>
              <w:rPr>
                <w:lang w:val="fr-FR"/>
              </w:rPr>
            </w:pPr>
            <w:r w:rsidRPr="004A2C3F">
              <w:rPr>
                <w:lang w:val="fr-BE"/>
              </w:rPr>
              <w:t>CdR-1038/2017-fin - Avis du Comité européen des régions sur la PAC post-2020</w:t>
            </w:r>
          </w:p>
        </w:tc>
      </w:tr>
      <w:tr w:rsidR="00DD2FC3" w:rsidRPr="00611E8C" w:rsidTr="00DD2FC3">
        <w:tc>
          <w:tcPr>
            <w:tcW w:w="3848" w:type="dxa"/>
            <w:noWrap/>
          </w:tcPr>
          <w:p w:rsidR="00DD2FC3" w:rsidRPr="00611E8C" w:rsidRDefault="00DD2FC3" w:rsidP="002E1BEB">
            <w:pPr>
              <w:jc w:val="left"/>
              <w:rPr>
                <w:b/>
                <w:bCs/>
                <w:lang w:val="fr-FR"/>
              </w:rPr>
            </w:pPr>
            <w:r w:rsidRPr="00611E8C">
              <w:rPr>
                <w:b/>
                <w:bCs/>
                <w:lang w:val="fr-FR"/>
              </w:rPr>
              <w:t>Date de la consultation du réseau de monitorage de la subsidiarité</w:t>
            </w:r>
          </w:p>
        </w:tc>
        <w:tc>
          <w:tcPr>
            <w:tcW w:w="5441" w:type="dxa"/>
            <w:noWrap/>
          </w:tcPr>
          <w:p w:rsidR="00DD2FC3" w:rsidRPr="00611E8C" w:rsidRDefault="00DD2FC3" w:rsidP="00DD2FC3">
            <w:pPr>
              <w:spacing w:line="360" w:lineRule="auto"/>
              <w:rPr>
                <w:lang w:val="fr-FR"/>
              </w:rPr>
            </w:pPr>
          </w:p>
        </w:tc>
      </w:tr>
    </w:tbl>
    <w:p w:rsidR="00AF0D44" w:rsidRPr="00611E8C" w:rsidRDefault="00AF0D44" w:rsidP="00AF0D44">
      <w:pPr>
        <w:rPr>
          <w:lang w:val="fr-FR"/>
        </w:rPr>
      </w:pPr>
    </w:p>
    <w:p w:rsidR="00646789" w:rsidRDefault="00646789" w:rsidP="00AF0D44">
      <w:pPr>
        <w:jc w:val="center"/>
        <w:rPr>
          <w:lang w:val="fr-FR"/>
        </w:rPr>
      </w:pPr>
    </w:p>
    <w:p w:rsidR="00AF0D44" w:rsidRPr="00611E8C" w:rsidRDefault="00AF0D44" w:rsidP="00AF0D44">
      <w:pPr>
        <w:jc w:val="center"/>
        <w:rPr>
          <w:lang w:val="fr-FR"/>
        </w:rPr>
      </w:pPr>
      <w:r w:rsidRPr="00611E8C">
        <w:rPr>
          <w:lang w:val="fr-FR"/>
        </w:rPr>
        <w:t>_____________</w:t>
      </w:r>
    </w:p>
    <w:p w:rsidR="00A012A8" w:rsidRPr="00611E8C" w:rsidRDefault="00A012A8" w:rsidP="00D01807">
      <w:pPr>
        <w:rPr>
          <w:lang w:val="fr-FR"/>
        </w:rPr>
      </w:pPr>
    </w:p>
    <w:sectPr w:rsidR="00A012A8" w:rsidRPr="00611E8C" w:rsidSect="00AF0D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A8" w:rsidRDefault="00A012A8">
      <w:r>
        <w:separator/>
      </w:r>
    </w:p>
  </w:endnote>
  <w:endnote w:type="continuationSeparator" w:id="0">
    <w:p w:rsidR="00A012A8" w:rsidRDefault="00A0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44" w:rsidRDefault="00646789">
    <w:pPr>
      <w:pStyle w:val="Footer"/>
    </w:pPr>
    <w:r>
      <w:t xml:space="preserve">COR-2018-03637-00-00-DT-TRA (FR) </w:t>
    </w:r>
    <w:r>
      <w:fldChar w:fldCharType="begin"/>
    </w:r>
    <w:r>
      <w:instrText xml:space="preserve"> PAGE  \* Arabic  \* MERGEFORMAT </w:instrText>
    </w:r>
    <w:r>
      <w:fldChar w:fldCharType="separate"/>
    </w:r>
    <w:r w:rsidR="00E968A3">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E968A3">
      <w:rPr>
        <w:noProof/>
      </w:rPr>
      <w:instrText>6</w:instrText>
    </w:r>
    <w:r>
      <w:fldChar w:fldCharType="end"/>
    </w:r>
    <w:r>
      <w:instrText xml:space="preserve"> </w:instrText>
    </w:r>
    <w:r>
      <w:fldChar w:fldCharType="separate"/>
    </w:r>
    <w:r w:rsidR="00E968A3">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44" w:rsidRPr="00AF0D44" w:rsidRDefault="00AF0D44" w:rsidP="00AF0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89" w:rsidRPr="00CC0303" w:rsidRDefault="00646789" w:rsidP="00646789">
    <w:pPr>
      <w:pStyle w:val="Footer"/>
    </w:pPr>
    <w:r>
      <w:t xml:space="preserve">COR-2018-03637-00-00-DT-TRA (FR) </w:t>
    </w:r>
    <w:r>
      <w:fldChar w:fldCharType="begin"/>
    </w:r>
    <w:r>
      <w:instrText xml:space="preserve"> PAGE  \* Arabic  \* MERGEFORMAT </w:instrText>
    </w:r>
    <w:r>
      <w:fldChar w:fldCharType="separate"/>
    </w:r>
    <w:r w:rsidR="00E968A3">
      <w:rPr>
        <w:noProof/>
      </w:rPr>
      <w:t>6</w:t>
    </w:r>
    <w:r>
      <w:fldChar w:fldCharType="end"/>
    </w:r>
    <w:r>
      <w:t>/</w:t>
    </w:r>
    <w:r>
      <w:fldChar w:fldCharType="begin"/>
    </w:r>
    <w:r>
      <w:instrText xml:space="preserve"> = </w:instrText>
    </w:r>
    <w:r>
      <w:fldChar w:fldCharType="begin"/>
    </w:r>
    <w:r>
      <w:instrText xml:space="preserve"> NUMPAGES </w:instrText>
    </w:r>
    <w:r>
      <w:fldChar w:fldCharType="separate"/>
    </w:r>
    <w:r w:rsidR="00E968A3">
      <w:rPr>
        <w:noProof/>
      </w:rPr>
      <w:instrText>6</w:instrText>
    </w:r>
    <w:r>
      <w:fldChar w:fldCharType="end"/>
    </w:r>
    <w:r>
      <w:instrText xml:space="preserve"> </w:instrText>
    </w:r>
    <w:r>
      <w:fldChar w:fldCharType="separate"/>
    </w:r>
    <w:r w:rsidR="00E968A3">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44" w:rsidRPr="00AF0D44" w:rsidRDefault="00AF0D44" w:rsidP="00AF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A8" w:rsidRDefault="00A012A8">
      <w:r>
        <w:separator/>
      </w:r>
    </w:p>
  </w:footnote>
  <w:footnote w:type="continuationSeparator" w:id="0">
    <w:p w:rsidR="00A012A8" w:rsidRDefault="00A012A8">
      <w:r>
        <w:continuationSeparator/>
      </w:r>
    </w:p>
  </w:footnote>
  <w:footnote w:id="1">
    <w:p w:rsidR="00DD2FC3" w:rsidRPr="002154C2" w:rsidRDefault="00DD2FC3" w:rsidP="00DD2FC3">
      <w:pPr>
        <w:pStyle w:val="EndnoteText"/>
        <w:ind w:left="567" w:hanging="567"/>
        <w:jc w:val="left"/>
      </w:pPr>
      <w:r w:rsidRPr="002154C2">
        <w:rPr>
          <w:rStyle w:val="FootnoteReference"/>
        </w:rPr>
        <w:footnoteRef/>
      </w:r>
      <w:r w:rsidRPr="002154C2">
        <w:rPr>
          <w:sz w:val="24"/>
          <w:vertAlign w:val="superscript"/>
        </w:rPr>
        <w:t xml:space="preserve"> </w:t>
      </w:r>
      <w:r>
        <w:rPr>
          <w:sz w:val="24"/>
          <w:vertAlign w:val="superscript"/>
        </w:rPr>
        <w:tab/>
      </w:r>
      <w:r>
        <w:rPr>
          <w:sz w:val="16"/>
        </w:rPr>
        <w:t>D</w:t>
      </w:r>
      <w:r w:rsidRPr="002154C2">
        <w:rPr>
          <w:sz w:val="16"/>
        </w:rPr>
        <w:t xml:space="preserve">égagement notamment de protoxyde d’azote N²O </w:t>
      </w:r>
      <w:hyperlink r:id="rId1" w:history="1">
        <w:r w:rsidRPr="002154C2">
          <w:rPr>
            <w:rStyle w:val="Hyperlink"/>
            <w:sz w:val="16"/>
          </w:rPr>
          <w:t xml:space="preserve">https://reseauactionclimat.org/wp-content/uploads/2018/02/emissions-de-gaz-a-effet-de-serre-et-fertilisation-azotee_initiatives-collectives-et-territoriales.pdf- </w:t>
        </w:r>
      </w:hyperlink>
      <w:r w:rsidRPr="002154C2">
        <w:rPr>
          <w:rStyle w:val="Hyperlink"/>
          <w:sz w:val="16"/>
        </w:rPr>
        <w:t xml:space="preserve">scénario </w:t>
      </w:r>
      <w:proofErr w:type="spellStart"/>
      <w:r w:rsidRPr="002154C2">
        <w:rPr>
          <w:rStyle w:val="Hyperlink"/>
          <w:sz w:val="16"/>
        </w:rPr>
        <w:t>Afterres</w:t>
      </w:r>
      <w:proofErr w:type="spellEnd"/>
      <w:r w:rsidRPr="002154C2">
        <w:rPr>
          <w:rStyle w:val="Hyperlink"/>
          <w:sz w:val="16"/>
        </w:rPr>
        <w:t xml:space="preserve"> 2050: </w:t>
      </w:r>
      <w:hyperlink r:id="rId2" w:history="1">
        <w:r w:rsidRPr="002154C2">
          <w:rPr>
            <w:rStyle w:val="Hyperlink"/>
            <w:sz w:val="16"/>
          </w:rPr>
          <w:t>http://afterres2050.solagro.org/wp-content/uploads/2015/11/Solagro_afterres2050-v2-web.pdf</w:t>
        </w:r>
      </w:hyperlink>
    </w:p>
  </w:footnote>
  <w:footnote w:id="2">
    <w:p w:rsidR="00DD2FC3" w:rsidRPr="002154C2" w:rsidRDefault="00DD2FC3" w:rsidP="00DD2FC3">
      <w:pPr>
        <w:pStyle w:val="FootnoteText"/>
      </w:pPr>
      <w:r w:rsidRPr="002154C2">
        <w:rPr>
          <w:rStyle w:val="FootnoteReference"/>
        </w:rPr>
        <w:footnoteRef/>
      </w:r>
      <w:r w:rsidRPr="002154C2">
        <w:rPr>
          <w:sz w:val="24"/>
          <w:vertAlign w:val="superscript"/>
        </w:rPr>
        <w:t xml:space="preserve"> </w:t>
      </w:r>
      <w:r>
        <w:rPr>
          <w:sz w:val="24"/>
          <w:vertAlign w:val="superscript"/>
        </w:rPr>
        <w:tab/>
      </w:r>
      <w:r w:rsidRPr="002154C2">
        <w:t>P</w:t>
      </w:r>
      <w:r>
        <w:t>a</w:t>
      </w:r>
      <w:r w:rsidRPr="002154C2">
        <w:t xml:space="preserve">r </w:t>
      </w:r>
      <w:proofErr w:type="spellStart"/>
      <w:r w:rsidRPr="002154C2">
        <w:t>exemple</w:t>
      </w:r>
      <w:proofErr w:type="spellEnd"/>
      <w:r w:rsidRPr="002154C2">
        <w:t xml:space="preserve">, le passage à </w:t>
      </w:r>
      <w:proofErr w:type="spellStart"/>
      <w:r w:rsidRPr="002154C2">
        <w:t>l’agriculture</w:t>
      </w:r>
      <w:proofErr w:type="spellEnd"/>
      <w:r w:rsidRPr="002154C2">
        <w:t xml:space="preserve"> </w:t>
      </w:r>
      <w:proofErr w:type="spellStart"/>
      <w:r w:rsidRPr="002154C2">
        <w:t>biologique</w:t>
      </w:r>
      <w:proofErr w:type="spellEnd"/>
      <w:r w:rsidRPr="002154C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44" w:rsidRPr="00AF0D44" w:rsidRDefault="00AF0D44" w:rsidP="00AF0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44" w:rsidRPr="00AF0D44" w:rsidRDefault="00AF0D44" w:rsidP="00AF0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44" w:rsidRPr="00AF0D44" w:rsidRDefault="00AF0D44" w:rsidP="00AF0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13320FEE"/>
    <w:multiLevelType w:val="hybridMultilevel"/>
    <w:tmpl w:val="7C9861B2"/>
    <w:lvl w:ilvl="0" w:tplc="571C465A">
      <w:start w:val="3"/>
      <w:numFmt w:val="bullet"/>
      <w:lvlText w:val="-"/>
      <w:lvlJc w:val="left"/>
      <w:pPr>
        <w:ind w:left="720" w:hanging="360"/>
      </w:pPr>
      <w:rPr>
        <w:rFonts w:ascii="Times New Roman" w:eastAsia="Times New Roman" w:hAnsi="Times New Roman" w:cs="Times New Roman" w:hint="default"/>
        <w: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8D5AFB"/>
    <w:multiLevelType w:val="hybridMultilevel"/>
    <w:tmpl w:val="523C3C72"/>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971EB0"/>
    <w:multiLevelType w:val="hybridMultilevel"/>
    <w:tmpl w:val="DFF2D8AE"/>
    <w:lvl w:ilvl="0" w:tplc="9FC003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6E32B4"/>
    <w:multiLevelType w:val="hybridMultilevel"/>
    <w:tmpl w:val="2B3E4010"/>
    <w:lvl w:ilvl="0" w:tplc="2F8ED62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2117E21"/>
    <w:multiLevelType w:val="hybridMultilevel"/>
    <w:tmpl w:val="84BEFB2A"/>
    <w:lvl w:ilvl="0" w:tplc="3C1C7F4A">
      <w:start w:val="1"/>
      <w:numFmt w:val="decimal"/>
      <w:lvlText w:val="%1."/>
      <w:lvlJc w:val="left"/>
      <w:pPr>
        <w:ind w:left="360" w:hanging="360"/>
      </w:pPr>
      <w:rPr>
        <w:rFonts w:hint="default"/>
        <w:b w:val="0"/>
        <w:sz w:val="22"/>
        <w:szCs w:val="22"/>
      </w:rPr>
    </w:lvl>
    <w:lvl w:ilvl="1" w:tplc="BB764464">
      <w:start w:val="1"/>
      <w:numFmt w:val="lowerLetter"/>
      <w:lvlText w:val="%2."/>
      <w:lvlJc w:val="left"/>
      <w:pPr>
        <w:ind w:left="1440" w:hanging="360"/>
      </w:pPr>
      <w:rPr>
        <w:rFonts w:ascii="Times New Roman" w:eastAsia="Times New Roman" w:hAnsi="Times New Roman" w:cs="Times New Roman"/>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615D04"/>
    <w:multiLevelType w:val="hybridMultilevel"/>
    <w:tmpl w:val="6CC4000E"/>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7"/>
  </w:num>
  <w:num w:numId="4">
    <w:abstractNumId w:val="8"/>
  </w:num>
  <w:num w:numId="5">
    <w:abstractNumId w:val="10"/>
  </w:num>
  <w:num w:numId="6">
    <w:abstractNumId w:val="4"/>
  </w:num>
  <w:num w:numId="7">
    <w:abstractNumId w:val="2"/>
  </w:num>
  <w:num w:numId="8">
    <w:abstractNumId w:val="15"/>
  </w:num>
  <w:num w:numId="9">
    <w:abstractNumId w:val="11"/>
  </w:num>
  <w:num w:numId="10">
    <w:abstractNumId w:val="12"/>
  </w:num>
  <w:num w:numId="11">
    <w:abstractNumId w:val="3"/>
  </w:num>
  <w:num w:numId="12">
    <w:abstractNumId w:val="9"/>
  </w:num>
  <w:num w:numId="13">
    <w:abstractNumId w:val="5"/>
  </w:num>
  <w:num w:numId="14">
    <w:abstractNumId w:val="6"/>
  </w:num>
  <w:num w:numId="15">
    <w:abstractNumId w:val="16"/>
  </w:num>
  <w:num w:numId="16">
    <w:abstractNumId w:val="1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615B3"/>
    <w:rsid w:val="0007636B"/>
    <w:rsid w:val="00082AC7"/>
    <w:rsid w:val="00097FE2"/>
    <w:rsid w:val="000C5933"/>
    <w:rsid w:val="00106E65"/>
    <w:rsid w:val="00124EF4"/>
    <w:rsid w:val="00137890"/>
    <w:rsid w:val="002111B1"/>
    <w:rsid w:val="00254B94"/>
    <w:rsid w:val="0027246A"/>
    <w:rsid w:val="00282E5F"/>
    <w:rsid w:val="002A3F31"/>
    <w:rsid w:val="002A5655"/>
    <w:rsid w:val="002E2B3E"/>
    <w:rsid w:val="002F03D6"/>
    <w:rsid w:val="002F4D26"/>
    <w:rsid w:val="00300347"/>
    <w:rsid w:val="00306A90"/>
    <w:rsid w:val="00324389"/>
    <w:rsid w:val="00343534"/>
    <w:rsid w:val="003628AA"/>
    <w:rsid w:val="0038000B"/>
    <w:rsid w:val="003A392D"/>
    <w:rsid w:val="003A6655"/>
    <w:rsid w:val="003B442C"/>
    <w:rsid w:val="003C74B6"/>
    <w:rsid w:val="003F5BAA"/>
    <w:rsid w:val="00407CCD"/>
    <w:rsid w:val="004926D4"/>
    <w:rsid w:val="00492A93"/>
    <w:rsid w:val="00497C68"/>
    <w:rsid w:val="004B35BF"/>
    <w:rsid w:val="004C19AF"/>
    <w:rsid w:val="004D0021"/>
    <w:rsid w:val="004F2861"/>
    <w:rsid w:val="00507D64"/>
    <w:rsid w:val="00516B7F"/>
    <w:rsid w:val="005C4F1C"/>
    <w:rsid w:val="005C6B9D"/>
    <w:rsid w:val="005D1709"/>
    <w:rsid w:val="005D31A6"/>
    <w:rsid w:val="005D5FD4"/>
    <w:rsid w:val="005E1E17"/>
    <w:rsid w:val="005E2BBC"/>
    <w:rsid w:val="005F6758"/>
    <w:rsid w:val="005F6F76"/>
    <w:rsid w:val="00611E8C"/>
    <w:rsid w:val="00614B77"/>
    <w:rsid w:val="00633920"/>
    <w:rsid w:val="00646789"/>
    <w:rsid w:val="00672374"/>
    <w:rsid w:val="00674D38"/>
    <w:rsid w:val="006B190C"/>
    <w:rsid w:val="006C436A"/>
    <w:rsid w:val="00703829"/>
    <w:rsid w:val="00774B6A"/>
    <w:rsid w:val="0079007C"/>
    <w:rsid w:val="007A196B"/>
    <w:rsid w:val="00802C2D"/>
    <w:rsid w:val="00807BDD"/>
    <w:rsid w:val="00833D77"/>
    <w:rsid w:val="00837FA5"/>
    <w:rsid w:val="008616B4"/>
    <w:rsid w:val="00880B37"/>
    <w:rsid w:val="00897D58"/>
    <w:rsid w:val="008B0FBE"/>
    <w:rsid w:val="008F195C"/>
    <w:rsid w:val="008F63F5"/>
    <w:rsid w:val="009208EB"/>
    <w:rsid w:val="00923AD4"/>
    <w:rsid w:val="00955D36"/>
    <w:rsid w:val="00964DFF"/>
    <w:rsid w:val="00984F83"/>
    <w:rsid w:val="009968F3"/>
    <w:rsid w:val="009A6692"/>
    <w:rsid w:val="009D304D"/>
    <w:rsid w:val="009F31FB"/>
    <w:rsid w:val="00A012A8"/>
    <w:rsid w:val="00A012E5"/>
    <w:rsid w:val="00A157AB"/>
    <w:rsid w:val="00A63D47"/>
    <w:rsid w:val="00A9353F"/>
    <w:rsid w:val="00AA150D"/>
    <w:rsid w:val="00AF0D44"/>
    <w:rsid w:val="00B148B8"/>
    <w:rsid w:val="00B23306"/>
    <w:rsid w:val="00B83B2E"/>
    <w:rsid w:val="00B87D31"/>
    <w:rsid w:val="00B93C09"/>
    <w:rsid w:val="00BF7AE7"/>
    <w:rsid w:val="00C01B02"/>
    <w:rsid w:val="00C1025F"/>
    <w:rsid w:val="00C14ABB"/>
    <w:rsid w:val="00C639CA"/>
    <w:rsid w:val="00C9292B"/>
    <w:rsid w:val="00CF3511"/>
    <w:rsid w:val="00D01807"/>
    <w:rsid w:val="00D6005B"/>
    <w:rsid w:val="00D75E59"/>
    <w:rsid w:val="00D8619D"/>
    <w:rsid w:val="00D92C9C"/>
    <w:rsid w:val="00DD0185"/>
    <w:rsid w:val="00DD2FC3"/>
    <w:rsid w:val="00DE7736"/>
    <w:rsid w:val="00DF2EC8"/>
    <w:rsid w:val="00E156EF"/>
    <w:rsid w:val="00E316D8"/>
    <w:rsid w:val="00E85067"/>
    <w:rsid w:val="00E85C03"/>
    <w:rsid w:val="00E936F1"/>
    <w:rsid w:val="00E968A3"/>
    <w:rsid w:val="00EB3B52"/>
    <w:rsid w:val="00EE1BFC"/>
    <w:rsid w:val="00EE78E2"/>
    <w:rsid w:val="00EF20F6"/>
    <w:rsid w:val="00F02698"/>
    <w:rsid w:val="00F31C3F"/>
    <w:rsid w:val="00F45402"/>
    <w:rsid w:val="00FA48BC"/>
    <w:rsid w:val="00FA530F"/>
    <w:rsid w:val="00FD22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footer" w:uiPriority="99"/>
    <w:lsdException w:name="caption" w:semiHidden="1"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46A"/>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27246A"/>
    <w:pPr>
      <w:numPr>
        <w:numId w:val="1"/>
      </w:numPr>
      <w:ind w:left="720" w:hanging="720"/>
      <w:outlineLvl w:val="0"/>
    </w:pPr>
    <w:rPr>
      <w:kern w:val="28"/>
    </w:rPr>
  </w:style>
  <w:style w:type="paragraph" w:styleId="Heading2">
    <w:name w:val="heading 2"/>
    <w:basedOn w:val="Normal"/>
    <w:next w:val="Normal"/>
    <w:link w:val="Heading2Char"/>
    <w:uiPriority w:val="9"/>
    <w:qFormat/>
    <w:rsid w:val="0027246A"/>
    <w:pPr>
      <w:numPr>
        <w:ilvl w:val="1"/>
        <w:numId w:val="1"/>
      </w:numPr>
      <w:ind w:left="720" w:hanging="720"/>
      <w:outlineLvl w:val="1"/>
    </w:pPr>
  </w:style>
  <w:style w:type="paragraph" w:styleId="Heading3">
    <w:name w:val="heading 3"/>
    <w:basedOn w:val="Normal"/>
    <w:next w:val="Normal"/>
    <w:link w:val="Heading3Char"/>
    <w:uiPriority w:val="9"/>
    <w:qFormat/>
    <w:rsid w:val="0027246A"/>
    <w:pPr>
      <w:numPr>
        <w:ilvl w:val="2"/>
        <w:numId w:val="1"/>
      </w:numPr>
      <w:ind w:left="720" w:hanging="720"/>
      <w:outlineLvl w:val="2"/>
    </w:pPr>
  </w:style>
  <w:style w:type="paragraph" w:styleId="Heading4">
    <w:name w:val="heading 4"/>
    <w:basedOn w:val="Normal"/>
    <w:next w:val="Normal"/>
    <w:link w:val="Heading4Char"/>
    <w:uiPriority w:val="9"/>
    <w:qFormat/>
    <w:rsid w:val="0027246A"/>
    <w:pPr>
      <w:numPr>
        <w:ilvl w:val="3"/>
        <w:numId w:val="1"/>
      </w:numPr>
      <w:ind w:left="720" w:hanging="720"/>
      <w:outlineLvl w:val="3"/>
    </w:pPr>
  </w:style>
  <w:style w:type="paragraph" w:styleId="Heading5">
    <w:name w:val="heading 5"/>
    <w:basedOn w:val="Normal"/>
    <w:next w:val="Normal"/>
    <w:link w:val="Heading5Char"/>
    <w:uiPriority w:val="9"/>
    <w:qFormat/>
    <w:rsid w:val="0027246A"/>
    <w:pPr>
      <w:numPr>
        <w:ilvl w:val="4"/>
        <w:numId w:val="1"/>
      </w:numPr>
      <w:ind w:left="720" w:hanging="720"/>
      <w:outlineLvl w:val="4"/>
    </w:pPr>
  </w:style>
  <w:style w:type="paragraph" w:styleId="Heading6">
    <w:name w:val="heading 6"/>
    <w:basedOn w:val="Normal"/>
    <w:next w:val="Normal"/>
    <w:link w:val="Heading6Char"/>
    <w:uiPriority w:val="9"/>
    <w:qFormat/>
    <w:rsid w:val="0027246A"/>
    <w:pPr>
      <w:numPr>
        <w:ilvl w:val="5"/>
        <w:numId w:val="1"/>
      </w:numPr>
      <w:ind w:left="720" w:hanging="720"/>
      <w:outlineLvl w:val="5"/>
    </w:pPr>
  </w:style>
  <w:style w:type="paragraph" w:styleId="Heading7">
    <w:name w:val="heading 7"/>
    <w:basedOn w:val="Normal"/>
    <w:next w:val="Normal"/>
    <w:link w:val="Heading7Char"/>
    <w:uiPriority w:val="9"/>
    <w:qFormat/>
    <w:rsid w:val="0027246A"/>
    <w:pPr>
      <w:numPr>
        <w:ilvl w:val="6"/>
        <w:numId w:val="1"/>
      </w:numPr>
      <w:ind w:left="720" w:hanging="720"/>
      <w:outlineLvl w:val="6"/>
    </w:pPr>
  </w:style>
  <w:style w:type="paragraph" w:styleId="Heading8">
    <w:name w:val="heading 8"/>
    <w:basedOn w:val="Normal"/>
    <w:next w:val="Normal"/>
    <w:link w:val="Heading8Char"/>
    <w:uiPriority w:val="9"/>
    <w:qFormat/>
    <w:rsid w:val="0027246A"/>
    <w:pPr>
      <w:numPr>
        <w:ilvl w:val="7"/>
        <w:numId w:val="1"/>
      </w:numPr>
      <w:ind w:left="720" w:hanging="720"/>
      <w:outlineLvl w:val="7"/>
    </w:pPr>
  </w:style>
  <w:style w:type="paragraph" w:styleId="Heading9">
    <w:name w:val="heading 9"/>
    <w:basedOn w:val="Normal"/>
    <w:next w:val="Normal"/>
    <w:link w:val="Heading9Char"/>
    <w:uiPriority w:val="9"/>
    <w:qFormat/>
    <w:rsid w:val="0027246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58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DD658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DD658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DD658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DD658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DD658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DD658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DD658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DD658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27246A"/>
  </w:style>
  <w:style w:type="character" w:customStyle="1" w:styleId="FooterChar">
    <w:name w:val="Footer Char"/>
    <w:basedOn w:val="DefaultParagraphFont"/>
    <w:link w:val="Footer"/>
    <w:uiPriority w:val="99"/>
    <w:rsid w:val="00DD6585"/>
    <w:rPr>
      <w:sz w:val="22"/>
      <w:lang w:val="en-GB" w:eastAsia="en-US"/>
    </w:rPr>
  </w:style>
  <w:style w:type="paragraph" w:styleId="FootnoteText">
    <w:name w:val="footnote text"/>
    <w:basedOn w:val="Normal"/>
    <w:link w:val="FootnoteTextChar"/>
    <w:qFormat/>
    <w:rsid w:val="0027246A"/>
    <w:pPr>
      <w:keepLines/>
      <w:spacing w:after="60" w:line="240" w:lineRule="auto"/>
      <w:ind w:left="720" w:hanging="720"/>
    </w:pPr>
    <w:rPr>
      <w:sz w:val="16"/>
    </w:rPr>
  </w:style>
  <w:style w:type="character" w:customStyle="1" w:styleId="FootnoteTextChar">
    <w:name w:val="Footnote Text Char"/>
    <w:basedOn w:val="DefaultParagraphFont"/>
    <w:link w:val="FootnoteText"/>
    <w:rsid w:val="00DD6585"/>
    <w:rPr>
      <w:lang w:val="en-GB" w:eastAsia="en-US"/>
    </w:rPr>
  </w:style>
  <w:style w:type="paragraph" w:styleId="Header">
    <w:name w:val="header"/>
    <w:basedOn w:val="Normal"/>
    <w:link w:val="HeaderChar"/>
    <w:uiPriority w:val="99"/>
    <w:rsid w:val="0027246A"/>
  </w:style>
  <w:style w:type="character" w:customStyle="1" w:styleId="HeaderChar">
    <w:name w:val="Header Char"/>
    <w:basedOn w:val="DefaultParagraphFont"/>
    <w:link w:val="Header"/>
    <w:uiPriority w:val="99"/>
    <w:rsid w:val="00DD6585"/>
    <w:rPr>
      <w:sz w:val="22"/>
      <w:lang w:val="en-GB" w:eastAsia="en-US"/>
    </w:rPr>
  </w:style>
  <w:style w:type="paragraph" w:customStyle="1" w:styleId="quotes">
    <w:name w:val="quotes"/>
    <w:basedOn w:val="Normal"/>
    <w:next w:val="Normal"/>
    <w:rsid w:val="0027246A"/>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27246A"/>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9D30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304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styleId="ListParagraph">
    <w:name w:val="List Paragraph"/>
    <w:basedOn w:val="Normal"/>
    <w:qFormat/>
    <w:rsid w:val="00DD2FC3"/>
    <w:pPr>
      <w:overflowPunct/>
      <w:autoSpaceDE/>
      <w:autoSpaceDN/>
      <w:adjustRightInd/>
      <w:ind w:left="720"/>
      <w:contextualSpacing/>
      <w:textAlignment w:val="auto"/>
    </w:pPr>
    <w:rPr>
      <w:szCs w:val="22"/>
      <w:lang w:val="fr-FR"/>
    </w:rPr>
  </w:style>
  <w:style w:type="paragraph" w:styleId="EndnoteText">
    <w:name w:val="endnote text"/>
    <w:basedOn w:val="Normal"/>
    <w:link w:val="EndnoteTextChar"/>
    <w:uiPriority w:val="99"/>
    <w:unhideWhenUsed/>
    <w:rsid w:val="00DD2FC3"/>
    <w:pPr>
      <w:overflowPunct/>
      <w:autoSpaceDE/>
      <w:autoSpaceDN/>
      <w:adjustRightInd/>
      <w:spacing w:line="240" w:lineRule="auto"/>
      <w:textAlignment w:val="auto"/>
    </w:pPr>
    <w:rPr>
      <w:sz w:val="20"/>
      <w:lang w:val="fr-FR"/>
    </w:rPr>
  </w:style>
  <w:style w:type="character" w:customStyle="1" w:styleId="EndnoteTextChar">
    <w:name w:val="Endnote Text Char"/>
    <w:basedOn w:val="DefaultParagraphFont"/>
    <w:link w:val="EndnoteText"/>
    <w:uiPriority w:val="99"/>
    <w:rsid w:val="00DD2FC3"/>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footer" w:uiPriority="99"/>
    <w:lsdException w:name="caption" w:semiHidden="1"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46A"/>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27246A"/>
    <w:pPr>
      <w:numPr>
        <w:numId w:val="1"/>
      </w:numPr>
      <w:ind w:left="720" w:hanging="720"/>
      <w:outlineLvl w:val="0"/>
    </w:pPr>
    <w:rPr>
      <w:kern w:val="28"/>
    </w:rPr>
  </w:style>
  <w:style w:type="paragraph" w:styleId="Heading2">
    <w:name w:val="heading 2"/>
    <w:basedOn w:val="Normal"/>
    <w:next w:val="Normal"/>
    <w:link w:val="Heading2Char"/>
    <w:uiPriority w:val="9"/>
    <w:qFormat/>
    <w:rsid w:val="0027246A"/>
    <w:pPr>
      <w:numPr>
        <w:ilvl w:val="1"/>
        <w:numId w:val="1"/>
      </w:numPr>
      <w:ind w:left="720" w:hanging="720"/>
      <w:outlineLvl w:val="1"/>
    </w:pPr>
  </w:style>
  <w:style w:type="paragraph" w:styleId="Heading3">
    <w:name w:val="heading 3"/>
    <w:basedOn w:val="Normal"/>
    <w:next w:val="Normal"/>
    <w:link w:val="Heading3Char"/>
    <w:uiPriority w:val="9"/>
    <w:qFormat/>
    <w:rsid w:val="0027246A"/>
    <w:pPr>
      <w:numPr>
        <w:ilvl w:val="2"/>
        <w:numId w:val="1"/>
      </w:numPr>
      <w:ind w:left="720" w:hanging="720"/>
      <w:outlineLvl w:val="2"/>
    </w:pPr>
  </w:style>
  <w:style w:type="paragraph" w:styleId="Heading4">
    <w:name w:val="heading 4"/>
    <w:basedOn w:val="Normal"/>
    <w:next w:val="Normal"/>
    <w:link w:val="Heading4Char"/>
    <w:uiPriority w:val="9"/>
    <w:qFormat/>
    <w:rsid w:val="0027246A"/>
    <w:pPr>
      <w:numPr>
        <w:ilvl w:val="3"/>
        <w:numId w:val="1"/>
      </w:numPr>
      <w:ind w:left="720" w:hanging="720"/>
      <w:outlineLvl w:val="3"/>
    </w:pPr>
  </w:style>
  <w:style w:type="paragraph" w:styleId="Heading5">
    <w:name w:val="heading 5"/>
    <w:basedOn w:val="Normal"/>
    <w:next w:val="Normal"/>
    <w:link w:val="Heading5Char"/>
    <w:uiPriority w:val="9"/>
    <w:qFormat/>
    <w:rsid w:val="0027246A"/>
    <w:pPr>
      <w:numPr>
        <w:ilvl w:val="4"/>
        <w:numId w:val="1"/>
      </w:numPr>
      <w:ind w:left="720" w:hanging="720"/>
      <w:outlineLvl w:val="4"/>
    </w:pPr>
  </w:style>
  <w:style w:type="paragraph" w:styleId="Heading6">
    <w:name w:val="heading 6"/>
    <w:basedOn w:val="Normal"/>
    <w:next w:val="Normal"/>
    <w:link w:val="Heading6Char"/>
    <w:uiPriority w:val="9"/>
    <w:qFormat/>
    <w:rsid w:val="0027246A"/>
    <w:pPr>
      <w:numPr>
        <w:ilvl w:val="5"/>
        <w:numId w:val="1"/>
      </w:numPr>
      <w:ind w:left="720" w:hanging="720"/>
      <w:outlineLvl w:val="5"/>
    </w:pPr>
  </w:style>
  <w:style w:type="paragraph" w:styleId="Heading7">
    <w:name w:val="heading 7"/>
    <w:basedOn w:val="Normal"/>
    <w:next w:val="Normal"/>
    <w:link w:val="Heading7Char"/>
    <w:uiPriority w:val="9"/>
    <w:qFormat/>
    <w:rsid w:val="0027246A"/>
    <w:pPr>
      <w:numPr>
        <w:ilvl w:val="6"/>
        <w:numId w:val="1"/>
      </w:numPr>
      <w:ind w:left="720" w:hanging="720"/>
      <w:outlineLvl w:val="6"/>
    </w:pPr>
  </w:style>
  <w:style w:type="paragraph" w:styleId="Heading8">
    <w:name w:val="heading 8"/>
    <w:basedOn w:val="Normal"/>
    <w:next w:val="Normal"/>
    <w:link w:val="Heading8Char"/>
    <w:uiPriority w:val="9"/>
    <w:qFormat/>
    <w:rsid w:val="0027246A"/>
    <w:pPr>
      <w:numPr>
        <w:ilvl w:val="7"/>
        <w:numId w:val="1"/>
      </w:numPr>
      <w:ind w:left="720" w:hanging="720"/>
      <w:outlineLvl w:val="7"/>
    </w:pPr>
  </w:style>
  <w:style w:type="paragraph" w:styleId="Heading9">
    <w:name w:val="heading 9"/>
    <w:basedOn w:val="Normal"/>
    <w:next w:val="Normal"/>
    <w:link w:val="Heading9Char"/>
    <w:uiPriority w:val="9"/>
    <w:qFormat/>
    <w:rsid w:val="0027246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58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DD658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DD658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DD658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DD658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DD658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DD658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DD658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DD658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27246A"/>
  </w:style>
  <w:style w:type="character" w:customStyle="1" w:styleId="FooterChar">
    <w:name w:val="Footer Char"/>
    <w:basedOn w:val="DefaultParagraphFont"/>
    <w:link w:val="Footer"/>
    <w:uiPriority w:val="99"/>
    <w:rsid w:val="00DD6585"/>
    <w:rPr>
      <w:sz w:val="22"/>
      <w:lang w:val="en-GB" w:eastAsia="en-US"/>
    </w:rPr>
  </w:style>
  <w:style w:type="paragraph" w:styleId="FootnoteText">
    <w:name w:val="footnote text"/>
    <w:basedOn w:val="Normal"/>
    <w:link w:val="FootnoteTextChar"/>
    <w:qFormat/>
    <w:rsid w:val="0027246A"/>
    <w:pPr>
      <w:keepLines/>
      <w:spacing w:after="60" w:line="240" w:lineRule="auto"/>
      <w:ind w:left="720" w:hanging="720"/>
    </w:pPr>
    <w:rPr>
      <w:sz w:val="16"/>
    </w:rPr>
  </w:style>
  <w:style w:type="character" w:customStyle="1" w:styleId="FootnoteTextChar">
    <w:name w:val="Footnote Text Char"/>
    <w:basedOn w:val="DefaultParagraphFont"/>
    <w:link w:val="FootnoteText"/>
    <w:rsid w:val="00DD6585"/>
    <w:rPr>
      <w:lang w:val="en-GB" w:eastAsia="en-US"/>
    </w:rPr>
  </w:style>
  <w:style w:type="paragraph" w:styleId="Header">
    <w:name w:val="header"/>
    <w:basedOn w:val="Normal"/>
    <w:link w:val="HeaderChar"/>
    <w:uiPriority w:val="99"/>
    <w:rsid w:val="0027246A"/>
  </w:style>
  <w:style w:type="character" w:customStyle="1" w:styleId="HeaderChar">
    <w:name w:val="Header Char"/>
    <w:basedOn w:val="DefaultParagraphFont"/>
    <w:link w:val="Header"/>
    <w:uiPriority w:val="99"/>
    <w:rsid w:val="00DD6585"/>
    <w:rPr>
      <w:sz w:val="22"/>
      <w:lang w:val="en-GB" w:eastAsia="en-US"/>
    </w:rPr>
  </w:style>
  <w:style w:type="paragraph" w:customStyle="1" w:styleId="quotes">
    <w:name w:val="quotes"/>
    <w:basedOn w:val="Normal"/>
    <w:next w:val="Normal"/>
    <w:rsid w:val="0027246A"/>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27246A"/>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9D30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304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styleId="ListParagraph">
    <w:name w:val="List Paragraph"/>
    <w:basedOn w:val="Normal"/>
    <w:qFormat/>
    <w:rsid w:val="00DD2FC3"/>
    <w:pPr>
      <w:overflowPunct/>
      <w:autoSpaceDE/>
      <w:autoSpaceDN/>
      <w:adjustRightInd/>
      <w:ind w:left="720"/>
      <w:contextualSpacing/>
      <w:textAlignment w:val="auto"/>
    </w:pPr>
    <w:rPr>
      <w:szCs w:val="22"/>
      <w:lang w:val="fr-FR"/>
    </w:rPr>
  </w:style>
  <w:style w:type="paragraph" w:styleId="EndnoteText">
    <w:name w:val="endnote text"/>
    <w:basedOn w:val="Normal"/>
    <w:link w:val="EndnoteTextChar"/>
    <w:uiPriority w:val="99"/>
    <w:unhideWhenUsed/>
    <w:rsid w:val="00DD2FC3"/>
    <w:pPr>
      <w:overflowPunct/>
      <w:autoSpaceDE/>
      <w:autoSpaceDN/>
      <w:adjustRightInd/>
      <w:spacing w:line="240" w:lineRule="auto"/>
      <w:textAlignment w:val="auto"/>
    </w:pPr>
    <w:rPr>
      <w:sz w:val="20"/>
      <w:lang w:val="fr-FR"/>
    </w:rPr>
  </w:style>
  <w:style w:type="character" w:customStyle="1" w:styleId="EndnoteTextChar">
    <w:name w:val="Endnote Text Char"/>
    <w:basedOn w:val="DefaultParagraphFont"/>
    <w:link w:val="EndnoteText"/>
    <w:uiPriority w:val="99"/>
    <w:rsid w:val="00DD2FC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0999">
      <w:bodyDiv w:val="1"/>
      <w:marLeft w:val="0"/>
      <w:marRight w:val="0"/>
      <w:marTop w:val="0"/>
      <w:marBottom w:val="0"/>
      <w:divBdr>
        <w:top w:val="none" w:sz="0" w:space="0" w:color="auto"/>
        <w:left w:val="none" w:sz="0" w:space="0" w:color="auto"/>
        <w:bottom w:val="none" w:sz="0" w:space="0" w:color="auto"/>
        <w:right w:val="none" w:sz="0" w:space="0" w:color="auto"/>
      </w:divBdr>
    </w:div>
    <w:div w:id="160243317">
      <w:bodyDiv w:val="1"/>
      <w:marLeft w:val="0"/>
      <w:marRight w:val="0"/>
      <w:marTop w:val="0"/>
      <w:marBottom w:val="0"/>
      <w:divBdr>
        <w:top w:val="none" w:sz="0" w:space="0" w:color="auto"/>
        <w:left w:val="none" w:sz="0" w:space="0" w:color="auto"/>
        <w:bottom w:val="none" w:sz="0" w:space="0" w:color="auto"/>
        <w:right w:val="none" w:sz="0" w:space="0" w:color="auto"/>
      </w:divBdr>
    </w:div>
    <w:div w:id="895817830">
      <w:bodyDiv w:val="1"/>
      <w:marLeft w:val="0"/>
      <w:marRight w:val="0"/>
      <w:marTop w:val="0"/>
      <w:marBottom w:val="0"/>
      <w:divBdr>
        <w:top w:val="none" w:sz="0" w:space="0" w:color="auto"/>
        <w:left w:val="none" w:sz="0" w:space="0" w:color="auto"/>
        <w:bottom w:val="none" w:sz="0" w:space="0" w:color="auto"/>
        <w:right w:val="none" w:sz="0" w:space="0" w:color="auto"/>
      </w:divBdr>
    </w:div>
    <w:div w:id="1396005082">
      <w:bodyDiv w:val="1"/>
      <w:marLeft w:val="0"/>
      <w:marRight w:val="0"/>
      <w:marTop w:val="0"/>
      <w:marBottom w:val="0"/>
      <w:divBdr>
        <w:top w:val="none" w:sz="0" w:space="0" w:color="auto"/>
        <w:left w:val="none" w:sz="0" w:space="0" w:color="auto"/>
        <w:bottom w:val="none" w:sz="0" w:space="0" w:color="auto"/>
        <w:right w:val="none" w:sz="0" w:space="0" w:color="auto"/>
      </w:divBdr>
      <w:divsChild>
        <w:div w:id="209682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fterres2050.solagro.org/wp-content/uploads/2015/11/Solagro_afterres2050-v2-web.pdf" TargetMode="External"/><Relationship Id="rId1" Type="http://schemas.openxmlformats.org/officeDocument/2006/relationships/hyperlink" Target="https://reseauactionclimat.org/wp-content/uploads/2018/02/emissions-de-gaz-a-effet-de-serre-et-fertilisation-azotee_initiatives-collectives-et-territoriales.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main_x0020_New xmlns="5a835e4c-7991-436e-861e-d72429ac4626">IT tools related documents</Domain_x0020_New>
    <Event_x0020_date xmlns="5a835e4c-7991-436e-861e-d72429ac4626" xsi:nil="true"/>
    <Subdomain_x0020_New xmlns="5a835e4c-7991-436e-861e-d72429ac4626">Ariane</Subdomain_x0020_New>
    <Year xmlns="5a835e4c-7991-436e-861e-d72429ac46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BFACD39382D4F90D1A8A7BD4C3F15" ma:contentTypeVersion="7" ma:contentTypeDescription="Create a new document." ma:contentTypeScope="" ma:versionID="b951ab39d7fa192f4ef03b879b65e0ad">
  <xsd:schema xmlns:xsd="http://www.w3.org/2001/XMLSchema" xmlns:xs="http://www.w3.org/2001/XMLSchema" xmlns:p="http://schemas.microsoft.com/office/2006/metadata/properties" xmlns:ns2="5a835e4c-7991-436e-861e-d72429ac4626" targetNamespace="http://schemas.microsoft.com/office/2006/metadata/properties" ma:root="true" ma:fieldsID="d0230ee1316dfaca55a0d4f2f633cb6a" ns2:_="">
    <xsd:import namespace="5a835e4c-7991-436e-861e-d72429ac4626"/>
    <xsd:element name="properties">
      <xsd:complexType>
        <xsd:sequence>
          <xsd:element name="documentManagement">
            <xsd:complexType>
              <xsd:all>
                <xsd:element ref="ns2:Domain_x0020_New"/>
                <xsd:element ref="ns2:Subdomain_x0020_New"/>
                <xsd:element ref="ns2:Year"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35e4c-7991-436e-861e-d72429ac4626" elementFormDefault="qualified">
    <xsd:import namespace="http://schemas.microsoft.com/office/2006/documentManagement/types"/>
    <xsd:import namespace="http://schemas.microsoft.com/office/infopath/2007/PartnerControls"/>
    <xsd:element name="Domain_x0020_New" ma:index="2" ma:displayName="Domain" ma:default="IT tools related documents" ma:format="Dropdown" ma:internalName="Domain_x0020_New">
      <xsd:simpleType>
        <xsd:restriction base="dms:Choice">
          <xsd:enumeration value="Admin"/>
          <xsd:enumeration value="For filing"/>
          <xsd:enumeration value="Formatting"/>
          <xsd:enumeration value="TL"/>
          <xsd:enumeration value="Trados"/>
          <xsd:enumeration value="IT tools related documents"/>
        </xsd:restriction>
      </xsd:simpleType>
    </xsd:element>
    <xsd:element name="Subdomain_x0020_New" ma:index="3" ma:displayName="Subdomain" ma:default="Ariane" ma:format="Dropdown" ma:internalName="Subdomain_x0020_New">
      <xsd:simpleType>
        <xsd:restriction base="dms:Choice">
          <xsd:enumeration value="Alignments"/>
          <xsd:enumeration value="Ariane"/>
          <xsd:enumeration value="Documentation"/>
          <xsd:enumeration value="For filing"/>
          <xsd:enumeration value="HDT Admin"/>
          <xsd:enumeration value="Info"/>
          <xsd:enumeration value="Intranet"/>
          <xsd:enumeration value="Meetings"/>
          <xsd:enumeration value="Models"/>
          <xsd:enumeration value="Procedures"/>
          <xsd:enumeration value="Quest"/>
          <xsd:enumeration value="Reports/statistics"/>
          <xsd:enumeration value="Teleworking"/>
          <xsd:enumeration value="Trados Studio"/>
          <xsd:enumeration value="Training/Coaching"/>
          <xsd:enumeration value="TWB"/>
          <xsd:enumeration value="Wizard/Euramis"/>
        </xsd:restriction>
      </xsd:simpleType>
    </xsd:element>
    <xsd:element name="Year" ma:index="4" nillable="true" ma:displayName="Year" ma:format="Dropdown" ma:internalName="Ye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Event_x0020_date" ma:index="5" nillable="true" ma:displayName="Event date" ma:format="DateOnly" ma:internalName="Ev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1E78D-F43D-45C9-A134-FC28188F3DBB}">
  <ds:schemaRefs>
    <ds:schemaRef ds:uri="http://schemas.openxmlformats.org/package/2006/metadata/core-properties"/>
    <ds:schemaRef ds:uri="http://purl.org/dc/elements/1.1/"/>
    <ds:schemaRef ds:uri="5a835e4c-7991-436e-861e-d72429ac4626"/>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69DA41-6D03-4082-983F-6C01D26C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35e4c-7991-436e-861e-d72429ac4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C806B-91EA-40EE-80B1-77FB16B3E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Styles.dotm</Template>
  <TotalTime>30</TotalTime>
  <Pages>6</Pages>
  <Words>1920</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Modèle du PA du CdR</vt:lpstr>
    </vt:vector>
  </TitlesOfParts>
  <Company>CESE-CdR</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PA du CdR</dc:title>
  <dc:subject>Document administratif</dc:subject>
  <dc:creator>Emma Nieddu</dc:creator>
  <cp:keywords>COR-EESC-2014-01842-00-00-ADMIN-TRA-FR</cp:keywords>
  <dc:description>Rapporteur : -_x000d_
Langue originale : EN_x000d_
Date du document : 21/03/2014_x000d_
Date de la réunion : _x000d_
Documents externes : -_x000d_
Fonctionnaire responsable : Mette Ausra, téléphone : + 2 546 8297_x000d_
_x000d_
Résumé :</dc:description>
  <cp:lastModifiedBy>Susanna Sjöström</cp:lastModifiedBy>
  <cp:revision>14</cp:revision>
  <cp:lastPrinted>2007-01-10T09:34:00Z</cp:lastPrinted>
  <dcterms:created xsi:type="dcterms:W3CDTF">2018-07-11T09:19:00Z</dcterms:created>
  <dcterms:modified xsi:type="dcterms:W3CDTF">2018-08-28T09:58:00Z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0x0101009F6BFACD39382D4F90D1A8A7BD4C3F15</vt:lpwstr>
  </property>
</Properties>
</file>